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</w:p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АУ «РФРП ВО» </w:t>
      </w:r>
    </w:p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D510B">
        <w:rPr>
          <w:rFonts w:ascii="Times New Roman" w:hAnsi="Times New Roman" w:cs="Times New Roman"/>
          <w:sz w:val="28"/>
          <w:szCs w:val="28"/>
        </w:rPr>
        <w:t>12</w:t>
      </w:r>
      <w:r w:rsidRPr="00A15939">
        <w:rPr>
          <w:rFonts w:ascii="Times New Roman" w:hAnsi="Times New Roman" w:cs="Times New Roman"/>
          <w:sz w:val="28"/>
          <w:szCs w:val="28"/>
        </w:rPr>
        <w:t xml:space="preserve">»  </w:t>
      </w:r>
      <w:r w:rsidR="008D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510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15939"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A15939">
        <w:rPr>
          <w:rFonts w:ascii="Times New Roman" w:hAnsi="Times New Roman" w:cs="Times New Roman"/>
          <w:b/>
          <w:bCs/>
          <w:sz w:val="28"/>
          <w:szCs w:val="28"/>
        </w:rPr>
        <w:br/>
        <w:t>АВТОНОМНОГО УЧРЕЖДЕНИЯ</w:t>
      </w: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7820532"/>
      <w:r w:rsidRPr="00A159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МОНИТОРИНГА ЗА ВОЗВРАТНОСТЬЮ ПРЕДОСТАВЛЕННЫХ ДЕНЕЖНЫХ              СРЕДСТВ </w:t>
      </w:r>
      <w:r w:rsidRPr="008D510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51560" w:rsidRPr="008D510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</w:t>
      </w:r>
      <w:r w:rsidRPr="008D510B">
        <w:rPr>
          <w:rFonts w:ascii="Times New Roman" w:hAnsi="Times New Roman" w:cs="Times New Roman"/>
          <w:b/>
          <w:bCs/>
          <w:sz w:val="28"/>
          <w:szCs w:val="28"/>
        </w:rPr>
        <w:t>ПРОГРАММАМ</w:t>
      </w:r>
      <w:r w:rsidRPr="00A15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A15939" w:rsidRPr="00A15939" w:rsidRDefault="00A15939" w:rsidP="00A159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Редакция 2.</w:t>
      </w:r>
      <w:r w:rsidR="001E72EF">
        <w:rPr>
          <w:rFonts w:ascii="Times New Roman" w:hAnsi="Times New Roman" w:cs="Times New Roman"/>
          <w:bCs/>
          <w:sz w:val="28"/>
          <w:szCs w:val="28"/>
        </w:rPr>
        <w:t>3</w:t>
      </w: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3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15939">
        <w:rPr>
          <w:rFonts w:ascii="Times New Roman" w:hAnsi="Times New Roman" w:cs="Times New Roman"/>
          <w:b/>
          <w:sz w:val="28"/>
          <w:szCs w:val="28"/>
          <w:u w:val="single"/>
        </w:rPr>
        <w:t>СФ - 06</w:t>
      </w: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Воронеж</w:t>
      </w: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2022 год</w:t>
      </w:r>
      <w:r w:rsidRPr="00A1593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20754149"/>
        <w:docPartObj>
          <w:docPartGallery w:val="Table of Contents"/>
          <w:docPartUnique/>
        </w:docPartObj>
      </w:sdtPr>
      <w:sdtEndPr/>
      <w:sdtContent>
        <w:p w:rsidR="00A15939" w:rsidRPr="00A15939" w:rsidRDefault="00A15939" w:rsidP="00A15939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A1593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15939" w:rsidRPr="00A15939" w:rsidRDefault="00A15939" w:rsidP="00A15939">
          <w:pPr>
            <w:rPr>
              <w:lang w:eastAsia="ru-RU"/>
            </w:rPr>
          </w:pPr>
        </w:p>
        <w:p w:rsidR="00A15939" w:rsidRPr="00A15939" w:rsidRDefault="00A15939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r w:rsidRPr="00A15939">
            <w:fldChar w:fldCharType="begin"/>
          </w:r>
          <w:r w:rsidRPr="00A15939">
            <w:instrText xml:space="preserve"> TOC \o "1-3" \h \z \u </w:instrText>
          </w:r>
          <w:r w:rsidRPr="00A15939">
            <w:fldChar w:fldCharType="separate"/>
          </w:r>
          <w:hyperlink w:anchor="_Toc38554950" w:history="1">
            <w:r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Предисловие</w:t>
            </w:r>
            <w:r w:rsidRPr="00A15939">
              <w:rPr>
                <w:rFonts w:ascii="Times New Roman" w:hAnsi="Times New Roman" w:cs="Times New Roman"/>
                <w:webHidden/>
              </w:rPr>
              <w:tab/>
            </w:r>
            <w:r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A15939">
              <w:rPr>
                <w:rFonts w:ascii="Times New Roman" w:hAnsi="Times New Roman" w:cs="Times New Roman"/>
                <w:webHidden/>
              </w:rPr>
              <w:instrText xml:space="preserve"> PAGEREF _Toc38554950 \h </w:instrText>
            </w:r>
            <w:r w:rsidRPr="00A15939">
              <w:rPr>
                <w:rFonts w:ascii="Times New Roman" w:hAnsi="Times New Roman" w:cs="Times New Roman"/>
                <w:webHidden/>
              </w:rPr>
            </w:r>
            <w:r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3</w:t>
            </w:r>
            <w:r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1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_Toc38554951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4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2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Основные термины и определения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_Toc38554952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4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3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Инструменты и условия мониторинга и управления изменениями заявок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_Toc38554953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6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4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Финансовый мониторинг и контроль расходования средств Займа Заемщиками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_Toc38554954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8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5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Контроль выполнения Заемщиками целевых показателей эффективности заявки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</w:hyperlink>
          <w:r w:rsidR="00A15939" w:rsidRPr="00A15939">
            <w:rPr>
              <w:rFonts w:ascii="Times New Roman" w:hAnsi="Times New Roman" w:cs="Times New Roman"/>
            </w:rPr>
            <w:t>10</w:t>
          </w:r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6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6.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Мониторинг финансового состояния и фактов деятельности Заемщиков и гарантов.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_Toc38554956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11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  <w:r w:rsidR="00A15939" w:rsidRPr="00A15939">
            <w:rPr>
              <w:rFonts w:ascii="Times New Roman" w:hAnsi="Times New Roman" w:cs="Times New Roman"/>
            </w:rPr>
            <w:t>1</w:t>
          </w:r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7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7.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Мониторинг состояния обеспечения возврата Займа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  <w:t>12</w:t>
            </w:r>
          </w:hyperlink>
        </w:p>
        <w:p w:rsidR="00A15939" w:rsidRPr="00A15939" w:rsidRDefault="00BB695D" w:rsidP="00A15939">
          <w:pPr>
            <w:pStyle w:val="11"/>
            <w:rPr>
              <w:rFonts w:eastAsiaTheme="minorEastAsia"/>
              <w:lang w:eastAsia="ru-RU"/>
            </w:rPr>
          </w:pPr>
          <w:hyperlink w:anchor="_Toc38554958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8.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Контроль уплаты процентов и возврата средств Займа и принятие мер предварительного урегулирования просроченной задолженности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_Toc38554958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12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9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Порядок признания задолженности проблемной и принятия решения о досрочном истребовании и/или реструктуризации Займа.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_Toc38554959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13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BB695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60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10.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_Toc38554960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468EA">
              <w:rPr>
                <w:rFonts w:ascii="Times New Roman" w:hAnsi="Times New Roman" w:cs="Times New Roman"/>
                <w:webHidden/>
              </w:rPr>
              <w:t>15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A15939" w:rsidP="00A15939">
          <w:pPr>
            <w:rPr>
              <w:rFonts w:ascii="Times New Roman" w:hAnsi="Times New Roman" w:cs="Times New Roman"/>
              <w:sz w:val="28"/>
              <w:szCs w:val="28"/>
            </w:rPr>
          </w:pPr>
          <w:r w:rsidRPr="00A159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15939" w:rsidRPr="00A15939" w:rsidRDefault="00A15939" w:rsidP="00A1593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939" w:rsidRPr="00A15939" w:rsidRDefault="00A15939" w:rsidP="00A15939">
      <w:pPr>
        <w:pStyle w:val="1"/>
        <w:pageBreakBefore/>
        <w:spacing w:before="120" w:after="120" w:line="240" w:lineRule="auto"/>
        <w:rPr>
          <w:rFonts w:ascii="Times New Roman" w:hAnsi="Times New Roman" w:cs="Times New Roman"/>
          <w:color w:val="auto"/>
        </w:rPr>
      </w:pPr>
      <w:bookmarkStart w:id="1" w:name="_Toc2769057"/>
      <w:bookmarkStart w:id="2" w:name="_Toc38554950"/>
      <w:r w:rsidRPr="00A15939">
        <w:rPr>
          <w:rFonts w:ascii="Times New Roman" w:hAnsi="Times New Roman" w:cs="Times New Roman"/>
          <w:color w:val="auto"/>
        </w:rPr>
        <w:lastRenderedPageBreak/>
        <w:t>Предисловие</w:t>
      </w:r>
      <w:bookmarkEnd w:id="1"/>
      <w:bookmarkEnd w:id="2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numPr>
          <w:ilvl w:val="0"/>
          <w:numId w:val="1"/>
        </w:numPr>
        <w:tabs>
          <w:tab w:val="left" w:pos="567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(далее – </w:t>
      </w:r>
      <w:r w:rsidRPr="00A15939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A15939">
        <w:rPr>
          <w:rFonts w:ascii="Times New Roman" w:hAnsi="Times New Roman" w:cs="Times New Roman"/>
          <w:sz w:val="28"/>
          <w:szCs w:val="28"/>
        </w:rPr>
        <w:t>) в соответствии с Постановлением Правительства Воронежской области от 12.08.2011 № 703 «О Порядке предоставления субсидий бюджетным учреждениям Воронежской области и автономным учреждениям Воронежской области на иные цели».</w:t>
      </w:r>
    </w:p>
    <w:p w:rsidR="00A15939" w:rsidRPr="00A15939" w:rsidRDefault="00A15939" w:rsidP="00A15939">
      <w:pPr>
        <w:pStyle w:val="a3"/>
        <w:tabs>
          <w:tab w:val="left" w:pos="567"/>
        </w:tabs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939">
        <w:rPr>
          <w:rFonts w:ascii="Times New Roman" w:hAnsi="Times New Roman" w:cs="Times New Roman"/>
          <w:sz w:val="28"/>
          <w:szCs w:val="28"/>
        </w:rPr>
        <w:t>Наблюдательным советом Фонда (в редакции 2.</w:t>
      </w:r>
      <w:r w:rsidR="00A71F48">
        <w:rPr>
          <w:rFonts w:ascii="Times New Roman" w:hAnsi="Times New Roman" w:cs="Times New Roman"/>
          <w:sz w:val="28"/>
          <w:szCs w:val="28"/>
        </w:rPr>
        <w:t>3</w:t>
      </w:r>
      <w:r w:rsidRPr="00A15939">
        <w:rPr>
          <w:rFonts w:ascii="Times New Roman" w:hAnsi="Times New Roman" w:cs="Times New Roman"/>
          <w:sz w:val="28"/>
          <w:szCs w:val="28"/>
        </w:rPr>
        <w:t xml:space="preserve">) </w:t>
      </w:r>
      <w:r w:rsidR="00A71F48">
        <w:rPr>
          <w:rFonts w:ascii="Times New Roman" w:hAnsi="Times New Roman" w:cs="Times New Roman"/>
          <w:sz w:val="28"/>
          <w:szCs w:val="28"/>
        </w:rPr>
        <w:t>12</w:t>
      </w:r>
      <w:r w:rsidR="00352218">
        <w:rPr>
          <w:rFonts w:ascii="Times New Roman" w:hAnsi="Times New Roman" w:cs="Times New Roman"/>
          <w:sz w:val="28"/>
          <w:szCs w:val="28"/>
        </w:rPr>
        <w:t>.0</w:t>
      </w:r>
      <w:r w:rsidR="00A71F48">
        <w:rPr>
          <w:rFonts w:ascii="Times New Roman" w:hAnsi="Times New Roman" w:cs="Times New Roman"/>
          <w:sz w:val="28"/>
          <w:szCs w:val="28"/>
        </w:rPr>
        <w:t>8</w:t>
      </w:r>
      <w:r w:rsidR="00352218">
        <w:rPr>
          <w:rFonts w:ascii="Times New Roman" w:hAnsi="Times New Roman" w:cs="Times New Roman"/>
          <w:sz w:val="28"/>
          <w:szCs w:val="28"/>
        </w:rPr>
        <w:t>.2022</w:t>
      </w:r>
      <w:r w:rsidRPr="00A15939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352218">
        <w:rPr>
          <w:rFonts w:ascii="Times New Roman" w:hAnsi="Times New Roman" w:cs="Times New Roman"/>
          <w:sz w:val="28"/>
          <w:szCs w:val="28"/>
        </w:rPr>
        <w:t xml:space="preserve"> </w:t>
      </w:r>
      <w:r w:rsidR="008D510B">
        <w:rPr>
          <w:rFonts w:ascii="Times New Roman" w:hAnsi="Times New Roman" w:cs="Times New Roman"/>
          <w:sz w:val="28"/>
          <w:szCs w:val="28"/>
        </w:rPr>
        <w:t>34,</w:t>
      </w:r>
      <w:r w:rsidRPr="00A15939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8D510B">
        <w:rPr>
          <w:rFonts w:ascii="Times New Roman" w:hAnsi="Times New Roman" w:cs="Times New Roman"/>
          <w:sz w:val="28"/>
          <w:szCs w:val="28"/>
        </w:rPr>
        <w:t>2</w:t>
      </w:r>
      <w:r w:rsidRPr="00A15939">
        <w:rPr>
          <w:rFonts w:ascii="Times New Roman" w:hAnsi="Times New Roman" w:cs="Times New Roman"/>
          <w:sz w:val="28"/>
          <w:szCs w:val="28"/>
        </w:rPr>
        <w:t>).</w:t>
      </w:r>
    </w:p>
    <w:p w:rsidR="00A15939" w:rsidRPr="00A15939" w:rsidRDefault="00A15939" w:rsidP="00A1593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15939" w:rsidRPr="00A15939" w:rsidRDefault="00A15939" w:rsidP="00A15939">
      <w:pPr>
        <w:pStyle w:val="1"/>
        <w:pageBreakBefore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4" w:name="_Toc38554951"/>
      <w:r w:rsidRPr="00A159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0854249"/>
      <w:r w:rsidRPr="00A15939">
        <w:rPr>
          <w:rFonts w:ascii="Times New Roman" w:hAnsi="Times New Roman" w:cs="Times New Roman"/>
          <w:sz w:val="28"/>
          <w:szCs w:val="28"/>
        </w:rPr>
        <w:t xml:space="preserve">Настоящий стандарт определяет порядок осуществления Фондом деятельности по мониторингу Займов и контролю реализации заявок, отобранных в целях их </w:t>
      </w:r>
      <w:r w:rsidRPr="008D510B">
        <w:rPr>
          <w:rFonts w:ascii="Times New Roman" w:hAnsi="Times New Roman" w:cs="Times New Roman"/>
          <w:sz w:val="28"/>
          <w:szCs w:val="28"/>
        </w:rPr>
        <w:t xml:space="preserve">финансирования по </w:t>
      </w:r>
      <w:r w:rsidR="002468EA" w:rsidRPr="008D510B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8D510B">
        <w:rPr>
          <w:rFonts w:ascii="Times New Roman" w:hAnsi="Times New Roman" w:cs="Times New Roman"/>
          <w:sz w:val="28"/>
          <w:szCs w:val="28"/>
        </w:rPr>
        <w:t>программам Фонда</w:t>
      </w:r>
      <w:r w:rsidRPr="00A15939">
        <w:rPr>
          <w:rFonts w:ascii="Times New Roman" w:hAnsi="Times New Roman" w:cs="Times New Roman"/>
          <w:sz w:val="28"/>
          <w:szCs w:val="28"/>
        </w:rPr>
        <w:t xml:space="preserve">. Мониторинг осуществляется Фондом в целях обеспечения рационального использования бюджетных денежных средств субсидии, за счет которой предоставлен Заем.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6" w:name="_Toc38554952"/>
      <w:bookmarkEnd w:id="5"/>
      <w:r w:rsidRPr="00A15939">
        <w:rPr>
          <w:rFonts w:ascii="Times New Roman" w:hAnsi="Times New Roman" w:cs="Times New Roman"/>
          <w:color w:val="auto"/>
        </w:rPr>
        <w:t>Основные термины и определения</w:t>
      </w:r>
      <w:bookmarkEnd w:id="6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Гарант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График платежей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установленный договором Займа график возврата средств Займа (основной долг и проценты за пользование Займом), включающий в себя даты перечисления и суммы, перечисляемые Заемщиком.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Заемщик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субъект деятельности в сфере промышленности, заключивший с Фондом договор Займа с целью финансирования заявки и получивший финансовое обеспечение заявки.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Квартальный отчет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отчетность, предоставляемая Заемщиком Фонду по окончании каждого квартала, в соответствии с условиями договора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Ковенант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мероприятие, включающее в себя выезд по месту нахождения Заемщика и/или на территорию реализации заявки, посредством которого обеспечивается выполнение задач, функций и полномочий Фонда в сфере контроля соблюдения Заемщиком условий и обязательств, накладываемых на него договором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Направление целевого использования средств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перечень мероприятий, на реализацию которых могут быть направлены средства Займа, в соответствии с </w:t>
      </w:r>
      <w:r w:rsidRPr="00A159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требованиями стандартов Фонда, определяющих условия и порядок отбора заявок для финансирования по соответствующей программе.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Оправдательные документы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документы, подтверждающие факт совершения хозяйственной операции: договоры и технические задания к ним, акты, счета, счета-фактуры, накладные и т.п.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Расчетный банк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банк, для осуществления расчетного обслуживания Заемщиков по программам финансирования Фонда.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Реструктуризация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изменение договора целевого Займа в части срока возврата Займа (очередной части Займа), размера и порядка уплаты процентов за пользование Займом.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Риск утраты/ухудшения обеспечения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наступление событий, могущих повлечь за собой утрату обеспечения по Займу: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ухудшение финансового положения гарантов, вследствие чего гарант перестает соответствовать критериям, установленным Стандартом Фонда «Порядок обеспечения возврата Займов, предоставленных в качестве финансирования проектов»;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введение временной администрации в кредитном учреждении, предоставившим гарантию;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наступление иных событий, ведущих к невозможности исполнения гарантом своих договорных обязательств в полном объеме.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Счет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банковский счет, открываемый Заемщиком в Расчетном банке для осуществления расчетов по заявке за счет средств Займа в соответствии с требованиями стандарта Фонда, определяющего условия и порядок отбора заявок для финансирования по соответствующей программе.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Факты деятельности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события, с которыми законодательство связывает признание задолженности срочной к взысканию (в т.ч. банкротство, ликвидация), сведения о которых подлежат обязательному опубликованию согласно Федеральному закону № 129-ФЗ от 08 августа 2001 года «О государственной регистрации юридических лиц и индивидуальных предпринимателей» и Федеральному закону № 127-ФЗ от 26 октября 2002 года «О несостоятельности (банкротстве)», а также состояние арбитражных дел Заемщиков, в части объема предъявленных к ним денежных требований.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b/>
          <w:sz w:val="28"/>
          <w:szCs w:val="28"/>
        </w:rPr>
        <w:t>Экспертный совет Фонда</w:t>
      </w:r>
      <w:r w:rsidRPr="00A15939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и срока </w:t>
      </w:r>
      <w:r w:rsidRPr="00A15939">
        <w:rPr>
          <w:rFonts w:ascii="Times New Roman" w:hAnsi="Times New Roman" w:cs="Times New Roman"/>
          <w:sz w:val="28"/>
          <w:szCs w:val="28"/>
        </w:rPr>
        <w:lastRenderedPageBreak/>
        <w:t>предоставления финансовой поддержки отобранных заявок, изменении объема финансовой поддержки заявок, решение о финансировании которых было принято ранее, включая прекращение финансирования и принятие решений о досрочном возврате предоставленных денежных средств, о реструктуризации задолженности перед Фондом, о согласовании вида и объема обеспечения исполнения обязательств по возврату предоставленного финансирования.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высший коллегиальный орган управления Фондом.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 настоящем Стандарте также используются термины, определенные в других стандартах Фонда.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7" w:name="_Toc38554953"/>
      <w:r w:rsidRPr="00A15939">
        <w:rPr>
          <w:rFonts w:ascii="Times New Roman" w:hAnsi="Times New Roman" w:cs="Times New Roman"/>
          <w:color w:val="auto"/>
        </w:rPr>
        <w:t>Инструменты и условия мониторинга и управления изменениями заявок</w:t>
      </w:r>
      <w:bookmarkEnd w:id="7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 осуществляет мониторинг Займов и контроль реализации заявок с применением инструментов, предусмотренных договором Займа, в качестве которых используются: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мониторинг и контроль операций по Счетам Заемщиков с целью подтверждения целевого использования предоставленного Займа;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мониторинг и контроль исполнения Заемщиком обязательств по обеспечению </w:t>
      </w:r>
      <w:proofErr w:type="spellStart"/>
      <w:r w:rsidRPr="00A1593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15939"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и привлеченных средств;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проведение выездных Контрольных мероприятий по месту реализации заявки (не реже одного раза в год с документальной и фактической проверкой соблюдения Заемщиком условий и обязательств, накладываемых на него договором Займа);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регулярный мониторинг финансового состояния и фактов деятельности Заемщиков и гарантов по Займу;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мониторинг состояния обеспечения возврата Займа;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контроль соблюдения Заемщиком сроков перечисления платежей по погашению процентов и сумм основного долга в соответствии с графиком, предусмотренным договором Займа, и применение штрафных санкций за нарушение платежной дисциплины, предусмотренных Стандартами Фонда.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обеспечения возможности контроля со стороны Фонда за использованием средств Займа и/или реализации заявки Заемщик: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предоставляет Фонду все необходимые первичные, бухгалтерские и отчетные документы, подтверждающие использование Займа и/или средств </w:t>
      </w:r>
      <w:proofErr w:type="spellStart"/>
      <w:r w:rsidRPr="00A1593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1593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допускает специалистов Фонда по месту нахождения Заемщика и/или территории реализации заявки для осуществления Контрольного мероприятия;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оформляет заранее данный акцепт на списание Фондом денежных средств со Счета в случаях, предусмотренных договором Займа.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Документы, представляемые Заемщиком в составе отчетности, прошиваются, пронумеровываются, подписываются уполномоченным лицом и скрепляются печатью Заемщика. Иные документы, необходимые Фонду для осуществления контрольных процедур, могут представляться Заемщиками в Фонд в электронном виде. В этом случае ответственность за их соответствие оригиналам возлагается на Заемщика. Фонд вправе предусмотреть изменение порядка (формы) предоставления отчетности Заемщика.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необходимости внесения в течение срока действия договора Займа изменений в заявку, если такие изменения не противоречат основным условиям предоставления Займа, одобренным Экспертным советом Фонда, Фонд на основании обращения Заемщика может вносить изменения в договор Займа и договоры обеспечения. Для оценки рисков изменений заявки Фонд проводит дополнительные экспертизы (финансово-экономическую, юридическую).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Если изменения в заявку затрагивают основные условия предоставления Займа, целевые показатели эффективности, вопрос об одобрении таких изменений выносится на рассмотрение Экспертным советом Фонда.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выявлении Фондом в ходе осуществления мероприятий по мониторингу заявок признаков проблемной задолженности Фонд взаимодействует с Заемщиком с целью устранения допущенных нарушений и поиска вариантов нормализации ситуации, используя меры предварительного урегулирования, предусмотренные разделами 4-8 настоящего Стандарта.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Для целей настоящего стандарта признаками проблемной задолженности являются: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наступление установленных договором целевого Займа юридических фактов (ковенантов), предоставляющих Фонду право досрочно потребовать от Заемщика погашения задолженности по Займу,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факты нарушений Заемщиком условий договора Займа, несущих риски нарушения сроков завершения и/или не достижения результатов заявки,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наступление событий, с которыми законодательство связывает признание задолженности срочной к взысканию (банкротство, ликвидация).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невозможности нормализации ситуации задолженность в соответствии с разделом 9 настоящего Стандарта признается проблемной и принимается решение о досрочном истребовании и/или реструктуризации Займа.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8" w:name="_Toc38554954"/>
      <w:r w:rsidRPr="00A15939">
        <w:rPr>
          <w:rFonts w:ascii="Times New Roman" w:hAnsi="Times New Roman" w:cs="Times New Roman"/>
          <w:color w:val="auto"/>
        </w:rPr>
        <w:t>Финансовый мониторинг и контроль расходования средств Займа Заемщиками</w:t>
      </w:r>
      <w:bookmarkEnd w:id="8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и контроль расходования средств Займа осуществляется после зачисления денежных средств на счет Заемщика в соответствии с договором Займа. </w:t>
      </w:r>
    </w:p>
    <w:p w:rsidR="00A15939" w:rsidRPr="00A15939" w:rsidRDefault="00A15939" w:rsidP="00A15939">
      <w:pPr>
        <w:widowControl w:val="0"/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Заемщик обязан в течение срока, установленного в договоре Займа, предоставить в Фонд документы, подтверждающие целевое использование Займа.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Для подтверждения целевого использования средств Займа Заемщик в соответствии с требованиями к оформлению платежных, оправдательных и обосновывающих документов, определенными договором Займа, предоставляет в Фонд выписку Банка по расчетному счету, платежные поручения по всем расходным операциям согласно выписке Банка по расчетному счету, оправдательные и обосновывающие документы в соответствии с назначением платежа по всем платежным поручениям.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Займа.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списания Расчетным банком денежных средств со Счета без поручения Заемщика, например, по исполнительным документам, Заемщик должен незамедлительно известить об этом Фонд и в течение трех рабочих дней возместить на Счет списанные средства.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отказать Заемщику в приеме платежных, оправдательных и обосновывающих документов и применить меры воздействия в соответствии с договором Займа в следующих случаях: 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lastRenderedPageBreak/>
        <w:t>заемщиком не предоставлен полный комплект оправдательных и обосновывающих документов;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 не соблюдены требования к оформлению платежных, оправдательных и обосновывающих документов, выявлены несоответствия в документах (по сроку, сумме, назначению платежа, получателю средств и т.д.);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 характер операции по расходованию средств Займа противоречит действующему законодательству и/или Стандартам Фонда;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8D510B">
        <w:rPr>
          <w:sz w:val="28"/>
          <w:szCs w:val="28"/>
          <w:lang w:val="ru-RU"/>
        </w:rPr>
        <w:t>осуществляется закупка у контрагента на сумму более 20 % от суммы займа по программ</w:t>
      </w:r>
      <w:r w:rsidR="00251560" w:rsidRPr="008D510B">
        <w:rPr>
          <w:sz w:val="28"/>
          <w:szCs w:val="28"/>
          <w:lang w:val="ru-RU"/>
        </w:rPr>
        <w:t>ам</w:t>
      </w:r>
      <w:r w:rsidRPr="008D510B">
        <w:rPr>
          <w:sz w:val="28"/>
          <w:szCs w:val="28"/>
          <w:lang w:val="ru-RU"/>
        </w:rPr>
        <w:t xml:space="preserve"> финансирования «Технологическое развитие»</w:t>
      </w:r>
      <w:r w:rsidR="00251560" w:rsidRPr="008D510B">
        <w:rPr>
          <w:sz w:val="28"/>
          <w:szCs w:val="28"/>
          <w:lang w:val="ru-RU"/>
        </w:rPr>
        <w:t>, «Инвестиционное развитие»</w:t>
      </w:r>
      <w:r w:rsidR="00A71F48" w:rsidRPr="008D510B">
        <w:rPr>
          <w:sz w:val="28"/>
          <w:szCs w:val="28"/>
          <w:lang w:val="ru-RU"/>
        </w:rPr>
        <w:t xml:space="preserve"> </w:t>
      </w:r>
      <w:r w:rsidRPr="008D510B">
        <w:rPr>
          <w:sz w:val="28"/>
          <w:szCs w:val="28"/>
          <w:lang w:val="ru-RU"/>
        </w:rPr>
        <w:t>(учитываются все договоры с указанным контрагентом, оплачиваемые полностью или частично за счет средств займа, накопительным итогом за весь срок действия договора займа), при этом данный контрагент не заявлен Фонду в качестве ключевого исполнителя</w:t>
      </w:r>
      <w:r w:rsidRPr="00A15939">
        <w:rPr>
          <w:sz w:val="28"/>
          <w:szCs w:val="28"/>
          <w:lang w:val="ru-RU"/>
        </w:rPr>
        <w:t xml:space="preserve"> и не согласован с Фондом; 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>объект, закупка которого осуществлена за счет средств Займа, имеет излишние (необоснованные) потребительские характеристики с элементами роскоши;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 не подтверждено рыночное (конкурентное) ценообразование при осуществлении закупки и/или обоснованность выбора поставщиков товаров.</w:t>
      </w:r>
    </w:p>
    <w:p w:rsidR="00A15939" w:rsidRPr="00A15939" w:rsidRDefault="00A15939" w:rsidP="00A15939">
      <w:pPr>
        <w:pStyle w:val="a9"/>
        <w:tabs>
          <w:tab w:val="left" w:pos="709"/>
          <w:tab w:val="left" w:pos="1276"/>
        </w:tabs>
        <w:spacing w:before="120" w:after="120"/>
        <w:jc w:val="both"/>
        <w:rPr>
          <w:sz w:val="28"/>
          <w:szCs w:val="28"/>
          <w:lang w:val="ru-RU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709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выявлении в ходе мероприятий финансового мониторинга и контроля фактов нецелевого использования средств</w:t>
      </w:r>
      <w:r w:rsidR="00A71F48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данная информация доводится до руководства Фонда, и реализуются следующие мероприятия: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eastAsia="Arial" w:hAnsi="Times New Roman" w:cs="Times New Roman"/>
          <w:sz w:val="28"/>
          <w:szCs w:val="28"/>
        </w:rPr>
        <w:t>заемщик по требованию Фонда (вместо процентов, предусмотренных договором Займа) уплачивает проценты за пользование суммой Займа в размере двукратной ключевой ставки Банка России, действующей в период с момента выдачи Займа и до момента его полного возврата Фонду. Расчет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Займа;</w:t>
      </w:r>
    </w:p>
    <w:p w:rsidR="00A15939" w:rsidRPr="008D510B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10B">
        <w:rPr>
          <w:rFonts w:ascii="Times New Roman" w:hAnsi="Times New Roman" w:cs="Times New Roman"/>
          <w:bCs/>
          <w:sz w:val="28"/>
          <w:szCs w:val="28"/>
        </w:rPr>
        <w:t xml:space="preserve">заемщику предлагается осуществить возврат на счет Фонда </w:t>
      </w:r>
      <w:r w:rsidR="00251560" w:rsidRPr="008D510B">
        <w:rPr>
          <w:rFonts w:ascii="Times New Roman" w:hAnsi="Times New Roman" w:cs="Times New Roman"/>
          <w:bCs/>
          <w:sz w:val="28"/>
          <w:szCs w:val="28"/>
        </w:rPr>
        <w:t xml:space="preserve">денежных </w:t>
      </w:r>
      <w:r w:rsidRPr="008D510B">
        <w:rPr>
          <w:rFonts w:ascii="Times New Roman" w:hAnsi="Times New Roman" w:cs="Times New Roman"/>
          <w:bCs/>
          <w:sz w:val="28"/>
          <w:szCs w:val="28"/>
        </w:rPr>
        <w:t>средств в установленные Фондом сроки</w:t>
      </w:r>
      <w:r w:rsidR="00251560" w:rsidRPr="008D510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условиями Стандартов Фонда</w:t>
      </w:r>
      <w:r w:rsidRPr="008D510B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10B">
        <w:rPr>
          <w:rFonts w:ascii="Times New Roman" w:hAnsi="Times New Roman" w:cs="Times New Roman"/>
          <w:bCs/>
          <w:sz w:val="28"/>
          <w:szCs w:val="28"/>
        </w:rPr>
        <w:t>в случае невыполнения Заемщиком требования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о возврате денежных средств на счет Фонда вопрос выносится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38554955"/>
      <w:r w:rsidRPr="00A15939">
        <w:rPr>
          <w:rFonts w:ascii="Times New Roman" w:hAnsi="Times New Roman" w:cs="Times New Roman"/>
          <w:color w:val="auto"/>
        </w:rPr>
        <w:lastRenderedPageBreak/>
        <w:t>Контроль выполнения Заемщиками целевых показателей эффективности заявки</w:t>
      </w:r>
      <w:bookmarkEnd w:id="9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выполнения Заемщиком целевых показателей эффективности заявки, установленных договором Займа, Фонд осуществляет на основании ежегодно предоставляемого Заемщиком отчета и подтверждающих документов, а также в ходе Контрольного мероприятия, проводимого на территории реализации заявки (место ведения бизнеса Заемщика).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заявки.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Контрольного мероприятия оформляется Паспорт заявки с отражением результатов, выводов и предложений (рекомендаций) в адрес Заемщика.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невыполнении Заемщиком установленных договором Займа целевых показателей эффективности выполняются следующие мероприятия: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фонд запрашивает у Заемщика объяснения причин допущенных отклонений, оценку их влияния на ход реализации заявки с представлением плана мероприятий по достижению результатов заявки/выполнению установленных целевых показателей эффективности;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Заемщика и оценки рисков нарушения сроков реализации и/или не достижения результатов заявки, а также материалы Контрольного мероприятия (при наличии) не реже 1 раза в квартал рассматриваются Фондом;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если риски нарушения сроков реализации и/или не достижения результатов заявки оцениваются Фондом как высокие, принимается решение о вынесении вопроса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Завершение заявки (возврат денежных средств по договору Займа, заключенному между Фондом и Заемщиком) оформляется соответствующим актом, который подписывается Заемщиком и Фондом.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38554956"/>
      <w:r w:rsidRPr="00A15939">
        <w:rPr>
          <w:rFonts w:ascii="Times New Roman" w:hAnsi="Times New Roman" w:cs="Times New Roman"/>
          <w:color w:val="auto"/>
        </w:rPr>
        <w:lastRenderedPageBreak/>
        <w:t>Мониторинг финансового состояния и фактов деятельности Заемщиков и гарантов.</w:t>
      </w:r>
      <w:bookmarkEnd w:id="10"/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осуществляет регулярный мониторинг: </w:t>
      </w:r>
    </w:p>
    <w:p w:rsidR="00A15939" w:rsidRPr="00A15939" w:rsidRDefault="00A15939" w:rsidP="00A1593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финансового состояния Заемщиков и гарантов;</w:t>
      </w:r>
    </w:p>
    <w:p w:rsidR="00A15939" w:rsidRPr="00A15939" w:rsidRDefault="00A15939" w:rsidP="00A1593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событий, перечисленных в договоре займа (Ковенанты);</w:t>
      </w:r>
    </w:p>
    <w:p w:rsidR="00A15939" w:rsidRPr="00A15939" w:rsidRDefault="00A15939" w:rsidP="00A1593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фактов деятельности Заемщиков и гарантов с целью оценки уровня существенности происходящих событий и возможности их влияния на перспективы исполнения договора займа.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Ковенанты, предоставляющие Фонду право досрочного истребования Займа, устанавливаются в соответствии со Стандартом Фонда «Порядок обеспечения возврата Займов, предоставленных в качестве финансирования проектов».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финансового состояния, Ковенантов и фактов деятельности осуществляется Фондом на основании: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квартального отчета, в котором Заемщики предоставляют информацию об основных показателях финансово-хозяйственной деятельности и соблюдении Ковенантов;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промежуточной (ежеквартальной) и годовой бухгалтерской (финансовой) отчетности, предоставляемой Заемщиками в соответствии с заключенными договорами;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сведений о Заемщиках и гарантах, размещенных в открытых источниках информации в сети Интернет.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в ходе мониторинга признаков проблемной задолженности: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Фонд запрашивает у Заемщика объяснения причин выявленных фактов/свершившихся событий с целью оценки их влияния на ход реализации заявки, а также пути их урегулирования, предлагаемые Заемщиком;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Заемщика и оценки правовых и (или) финансовых рисков последствий нарушения Ковенантов/свершившихся событий рассматриваются Фондом, который устанавливает сроки для устранения Заемщиком допущенных нарушений и осуществляет мониторинг устранения нарушений;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если правовые и (или) финансовые риски последствий нарушения Ковенантов/свершившихся событий оцениваются Фондом как высокие, он принимает решение о вынесении вопроса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1" w:name="_Toc38554957"/>
      <w:r w:rsidRPr="00A15939">
        <w:rPr>
          <w:rFonts w:ascii="Times New Roman" w:hAnsi="Times New Roman" w:cs="Times New Roman"/>
          <w:color w:val="auto"/>
        </w:rPr>
        <w:lastRenderedPageBreak/>
        <w:t>Мониторинг состояния обеспечения возврата Займа</w:t>
      </w:r>
      <w:bookmarkEnd w:id="11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состояния обеспечения возврата Займа и рисков его утраты/ухудшения осуществляется Фондом в течение срока действия договора Займа. Для этого Фонд проводит документальные и фактические проверки наличия обеспечения, мониторинг исполнения условий соответствующих договоров гарантии и пр. При осуществлении мониторинга состояния обеспечения Фонд использует права, указанные в договорах, включая право требовать все необходимые первичные, бухгалтерские и отчетные документы.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наличия и достаточности обеспечения по Займу осуществляется Фондом путем проведения не реже 2 (двух) раз в год проверки фактического наличия и состояния предметов обеспечения на соответствие (стоимость равна или превышает) размеру текущей задолженности Заемщика по уплате основного долга и процентов.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признаков проблемной задолженности (фактов и/или рисков утраты/ухудшения обеспечения, предоставленного Заемщиком), Фонд: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взаимодействует с Заемщиком с целью выяснения причины обесценения и/или утраты обеспечения и обсуждения вариантов нормализации ситуации;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предлагает Заемщику заменить обеспечение или предоставить дополнительное обеспечение возврата Займа в сроки, установленные Договором займа;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 случае отказа Заемщика предоставить обеспечение и (или) нарушении установленных сроков его предоставления составляет акт, предусмотренный договором Займа, и выносит вопрос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38554958"/>
      <w:r w:rsidRPr="00A15939">
        <w:rPr>
          <w:rFonts w:ascii="Times New Roman" w:hAnsi="Times New Roman" w:cs="Times New Roman"/>
          <w:color w:val="auto"/>
        </w:rPr>
        <w:t>Контроль уплаты процентов и возврата средств Займа и принятие мер предварительного урегулирования просроченной задолженности</w:t>
      </w:r>
      <w:bookmarkEnd w:id="12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заранее за 7 (семь) дней до даты погашения в письменной форме по электронной почте информирует Заемщиков о необходимости осуществлять платежи в счет погашения процентов за пользование Займом, в счет погашения основного долга на счет Фонда в соответствии с Графиком 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платежей в сроки, установленные договором Займа.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Фонд организует ежедневный мониторинг поступления средств от Заемщиков. В случае нарушения Заемщиком Графика платежей Фонд предъявляет Заемщику штрафные санкции, предусмотренные договором Займа.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неуплаты или неполной уплаты Заемщиком платежей, предусмотренных договором Займа, Фонд направляет Заемщику требование о необходимости погашения просроченной задолженности с указанием срока. Если просроченная задолженность не погашена по истечении 10 дней с даты, указанной в требовании Фонда, и обязательства Заемщика обеспечены независимой гарантией, то требование о погашении просроченной задолженности направляется гарантам.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неисполнении обязательств по уплате платежей, предусмотренных договором Займа, или получении ответа, содержащего отказ в погашении требований Фонда по Займу, Фонд принимает решение с учетом текущего финансового положения Заемщика/гарантов и имеющихся данных об их возможном изменении, состояния обеспечения, достигнутых результатов заявки о необходимости вынесения на рассмотрение Экспертного совета Фонда вопроса о принятии мер принудительного характера в отношении Заемщика/гарантов.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3" w:name="_Toc38554959"/>
      <w:r w:rsidRPr="00A15939">
        <w:rPr>
          <w:rFonts w:ascii="Times New Roman" w:hAnsi="Times New Roman" w:cs="Times New Roman"/>
          <w:color w:val="auto"/>
        </w:rPr>
        <w:t>Порядок признания задолженности проблемной и принятия решения о досрочном истребовании и/или реструктуризации Займа.</w:t>
      </w:r>
      <w:bookmarkEnd w:id="13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в результате реализации предусмотренных разделами 4-8 настоящего стандарта мероприятий предварительного урегулирования задолженности, имеющей признаки проблемной, Заемщиком по требованию Фонда не устранены нарушения договора Займа, вопрос о статусе данной заявки выносится на рассмотрение Экспертного совета Фонда.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относит задолженность Заемщика к проблемной и применяет меры принудительного урегулирования задолженности без вынесения вопроса на рассмотрение Экспертным советом Фонда в следующих случаях: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ликвидации (за исключением реорганизации) Заемщика;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введения процедур, применяемых в деле о банкротстве Заемщика. 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Экспертный совет Фонда с учетом достигнутых результатов заявки, 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финансового состояния Заемщика, наличия и качества обеспечения возврата Займа и других существенных обстоятельств может принять следующие решения: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сохранении объема финансирования заявки в случае, если допущенные нарушения не приводят к увеличению риска невозврата Займа и/или не реализации заявки (критичные проблемы реализации заявки отсутствуют);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признании задолженности проблемной, прекращении финансирования заявки полностью (досрочном истребовании Займа) и применении мер принудительного урегулирования задолженности;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частичном прекращении финансирования заявки (досрочном истребовании части Займа);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реструктуризации задолженности, включая установление нового графика погашения Займа и уплаты процентов.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может содержать, как весь комплекс мер, предусмотренных договором Займа (полный либо частичный досрочный возврат Займа, уплата повышенных процентов за пользование Займом, применение штрафных санкций), так и любое из них.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о полном или частичном прекращении финансирования заявки (досрочном истребовании Займа или его части) может быть принято Экспертным советом Фонда в случае: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возникновения обстоятельств, предусмотренных типовыми ковенантами, установленными в договоре целевого Займа, в т. ч. при нарушении сроков исполнения денежных обязательств, не предоставления обеспечения, в сроки, установленные Стандартом Фонда «Порядок обеспечения возврата Займов, предоставленных в качестве финансирования проектов», в случае его утраты или ухудшения;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возникновения обстоятельств, предусмотренных дополнительными ковенантами - основаниями для досрочного истребования, установленными в договоре целевого Займа.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наличии на Счете на момент принятия решения о досрочном истребовании Займа не израсходованных средств Займа, Фонд осуществляет их списание на основании заранее данного акцепта.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Экспертного совета Фонда о реструктуризации задолженности принимается в случае, если реализация заявки (возврат денежных средств по договору Займа, заключенному между Фондом и 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Заемщиком) будет завершена в период предоставляемой отсрочки/рассрочки платежей на исполнение денежных обязательств (за исключением невозможности реализации заявки по независящим от Заемщика обстоятельствам) за счет пролонгации договора Займа.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Процентная ставка в случае реструктуризации Займа на период, превышающий максимальный срок по программе финансирования с момента предоставления Займа, устанавливается в размере средневзвешенной ставки по кредитам, предоставленным кредитными организациями нефинансовым организациям, относящимся к субъектам малого и среднего предпринимательства на срок свыше 1 года</w:t>
      </w:r>
      <w:r w:rsidRPr="00A15939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, опубликованной Банком России на дату принятия решения или в размере ставки, установленной по решению Экспертного совета Фонда.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4" w:name="_Hlk97820416"/>
      <w:r w:rsidRPr="00A15939">
        <w:rPr>
          <w:rFonts w:ascii="Times New Roman" w:hAnsi="Times New Roman" w:cs="Times New Roman"/>
          <w:sz w:val="28"/>
          <w:szCs w:val="28"/>
        </w:rPr>
        <w:t xml:space="preserve">Наблюдательный совет Фонда </w:t>
      </w:r>
      <w:bookmarkStart w:id="15" w:name="_Hlk102646348"/>
      <w:r w:rsidRPr="00A15939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обстоятельств (включая режим повышенной готовности), существенно влияющих на осуществление экономической деятельности, введения экономических санкций в отношении предприятий определенных отраслей, территорий, возникновения иных обстоятельств, существенно влияющих на условия хозяйственной деятельности </w:t>
      </w:r>
      <w:bookmarkEnd w:id="15"/>
      <w:r w:rsidRPr="00A15939">
        <w:rPr>
          <w:rFonts w:ascii="Times New Roman" w:hAnsi="Times New Roman" w:cs="Times New Roman"/>
          <w:sz w:val="28"/>
          <w:szCs w:val="28"/>
        </w:rPr>
        <w:t xml:space="preserve">группы экономических субъектов, вправе принять решение: </w:t>
      </w:r>
    </w:p>
    <w:p w:rsidR="00A15939" w:rsidRPr="00A15939" w:rsidRDefault="00A15939" w:rsidP="00A15939">
      <w:pPr>
        <w:widowControl w:val="0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приостановлении действия отдельных положений стандартов Фонда,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</w:t>
      </w:r>
      <w:r w:rsidRPr="00A1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устанавливающих применение штрафных санкций за ненадлежащее исполнение обязательств по договору, включая просрочку уплаты процентов, возврата суммы займа, невыполнение целевых показателей;</w:t>
      </w:r>
    </w:p>
    <w:p w:rsidR="00A15939" w:rsidRPr="00A15939" w:rsidRDefault="00A15939" w:rsidP="00A15939">
      <w:pPr>
        <w:widowControl w:val="0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15939">
        <w:rPr>
          <w:rFonts w:ascii="Times New Roman" w:hAnsi="Times New Roman" w:cs="Times New Roman"/>
          <w:sz w:val="28"/>
          <w:szCs w:val="28"/>
        </w:rPr>
        <w:t>неначислении</w:t>
      </w:r>
      <w:proofErr w:type="spellEnd"/>
      <w:r w:rsidRPr="00A15939">
        <w:rPr>
          <w:rFonts w:ascii="Times New Roman" w:hAnsi="Times New Roman" w:cs="Times New Roman"/>
          <w:sz w:val="28"/>
          <w:szCs w:val="28"/>
        </w:rPr>
        <w:t xml:space="preserve"> процентов за пользование займом, </w:t>
      </w:r>
      <w:proofErr w:type="spellStart"/>
      <w:r w:rsidRPr="00A15939">
        <w:rPr>
          <w:rFonts w:ascii="Times New Roman" w:hAnsi="Times New Roman" w:cs="Times New Roman"/>
          <w:sz w:val="28"/>
          <w:szCs w:val="28"/>
        </w:rPr>
        <w:t>невзимании</w:t>
      </w:r>
      <w:proofErr w:type="spellEnd"/>
      <w:r w:rsidRPr="00A15939">
        <w:rPr>
          <w:rFonts w:ascii="Times New Roman" w:hAnsi="Times New Roman" w:cs="Times New Roman"/>
          <w:sz w:val="28"/>
          <w:szCs w:val="28"/>
        </w:rPr>
        <w:t xml:space="preserve"> платы за проведение повторных экспертиз;  </w:t>
      </w:r>
    </w:p>
    <w:p w:rsidR="00A15939" w:rsidRPr="00A15939" w:rsidRDefault="00A15939" w:rsidP="00A15939">
      <w:pPr>
        <w:widowControl w:val="0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о возможности и основных параметрах предоставления отсрочек, рассрочек по </w:t>
      </w:r>
      <w:r w:rsidRPr="00A1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уплате процентов, возврату суммы займа.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567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6" w:name="_Toc38554960"/>
      <w:bookmarkEnd w:id="14"/>
      <w:r w:rsidRPr="00A15939">
        <w:rPr>
          <w:rFonts w:ascii="Times New Roman" w:hAnsi="Times New Roman" w:cs="Times New Roman"/>
          <w:color w:val="auto"/>
        </w:rPr>
        <w:t>Заключительные положения</w:t>
      </w:r>
      <w:bookmarkEnd w:id="16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Настоящий Стандарт, а также изменения и дополнения к нему вступают в силу с даты их утверждения Наблюдательным советом Фонда.</w:t>
      </w:r>
    </w:p>
    <w:p w:rsidR="00AD4D98" w:rsidRDefault="00AD4D98"/>
    <w:sectPr w:rsidR="00AD4D98" w:rsidSect="00610E1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5D" w:rsidRDefault="00BB695D" w:rsidP="00A15939">
      <w:pPr>
        <w:spacing w:after="0" w:line="240" w:lineRule="auto"/>
      </w:pPr>
      <w:r>
        <w:separator/>
      </w:r>
    </w:p>
  </w:endnote>
  <w:endnote w:type="continuationSeparator" w:id="0">
    <w:p w:rsidR="00BB695D" w:rsidRDefault="00BB695D" w:rsidP="00A1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5D" w:rsidRDefault="00BB695D" w:rsidP="00A15939">
      <w:pPr>
        <w:spacing w:after="0" w:line="240" w:lineRule="auto"/>
      </w:pPr>
      <w:r>
        <w:separator/>
      </w:r>
    </w:p>
  </w:footnote>
  <w:footnote w:type="continuationSeparator" w:id="0">
    <w:p w:rsidR="00BB695D" w:rsidRDefault="00BB695D" w:rsidP="00A15939">
      <w:pPr>
        <w:spacing w:after="0" w:line="240" w:lineRule="auto"/>
      </w:pPr>
      <w:r>
        <w:continuationSeparator/>
      </w:r>
    </w:p>
  </w:footnote>
  <w:footnote w:id="1">
    <w:p w:rsidR="00A15939" w:rsidRPr="00D41B5F" w:rsidRDefault="00A15939" w:rsidP="00A15939">
      <w:pPr>
        <w:pStyle w:val="a4"/>
        <w:jc w:val="both"/>
        <w:rPr>
          <w:rFonts w:ascii="Times New Roman" w:hAnsi="Times New Roman" w:cs="Times New Roman"/>
        </w:rPr>
      </w:pPr>
      <w:r w:rsidRPr="00D41B5F">
        <w:rPr>
          <w:rStyle w:val="a6"/>
          <w:rFonts w:ascii="Times New Roman" w:hAnsi="Times New Roman" w:cs="Times New Roman"/>
        </w:rPr>
        <w:footnoteRef/>
      </w:r>
      <w:r w:rsidRPr="00D41B5F">
        <w:rPr>
          <w:rFonts w:ascii="Times New Roman" w:hAnsi="Times New Roman" w:cs="Times New Roman"/>
        </w:rPr>
        <w:t xml:space="preserve"> Статистические данные, публикуемые Банком России в соответствии с пп. 18 статьи 4 Федерального закона от 10 июля 2002 года № 86-ФЗ «О Центральном банке Российской Федерации (Банке России)» (http://www.cbr.ru/statistics/).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460070"/>
      <w:docPartObj>
        <w:docPartGallery w:val="Page Numbers (Top of Page)"/>
        <w:docPartUnique/>
      </w:docPartObj>
    </w:sdtPr>
    <w:sdtEndPr/>
    <w:sdtContent>
      <w:p w:rsidR="008E12BC" w:rsidRDefault="007135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E12BC" w:rsidRDefault="00BB69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43E"/>
    <w:multiLevelType w:val="multilevel"/>
    <w:tmpl w:val="E52093D4"/>
    <w:lvl w:ilvl="0">
      <w:start w:val="1"/>
      <w:numFmt w:val="bullet"/>
      <w:lvlText w:val=""/>
      <w:lvlJc w:val="left"/>
      <w:pPr>
        <w:tabs>
          <w:tab w:val="num" w:pos="0"/>
        </w:tabs>
        <w:ind w:left="1351" w:hanging="47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Arial" w:eastAsia="Arial" w:hAnsi="Arial" w:cs="Arial" w:hint="default"/>
        <w:b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1" w15:restartNumberingAfterBreak="0">
    <w:nsid w:val="268319BE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397600"/>
    <w:multiLevelType w:val="multilevel"/>
    <w:tmpl w:val="835CE3E4"/>
    <w:lvl w:ilvl="0">
      <w:start w:val="4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3" w15:restartNumberingAfterBreak="0">
    <w:nsid w:val="32400AF9"/>
    <w:multiLevelType w:val="multilevel"/>
    <w:tmpl w:val="4FD88ECA"/>
    <w:styleLink w:val="2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4" w15:restartNumberingAfterBreak="0">
    <w:nsid w:val="48287999"/>
    <w:multiLevelType w:val="multilevel"/>
    <w:tmpl w:val="8EF48E0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5" w15:restartNumberingAfterBreak="0">
    <w:nsid w:val="49767BB0"/>
    <w:multiLevelType w:val="multilevel"/>
    <w:tmpl w:val="459C06D0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96"/>
        </w:tabs>
        <w:ind w:left="755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6" w15:restartNumberingAfterBreak="0">
    <w:nsid w:val="55822162"/>
    <w:multiLevelType w:val="multilevel"/>
    <w:tmpl w:val="A7C4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1B7"/>
    <w:multiLevelType w:val="hybridMultilevel"/>
    <w:tmpl w:val="B0CC0492"/>
    <w:lvl w:ilvl="0" w:tplc="68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C4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E99"/>
    <w:multiLevelType w:val="multilevel"/>
    <w:tmpl w:val="4FD88ECA"/>
    <w:numStyleLink w:val="2"/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351" w:hanging="471"/>
        </w:pPr>
        <w:rPr>
          <w:rFonts w:ascii="Times New Roman" w:eastAsia="Arial" w:hAnsi="Times New Roman" w:cs="Times New Roman" w:hint="default"/>
          <w:b w:val="0"/>
          <w:w w:val="100"/>
          <w:sz w:val="28"/>
          <w:szCs w:val="28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39"/>
    <w:rsid w:val="001D7A85"/>
    <w:rsid w:val="001E72EF"/>
    <w:rsid w:val="002468EA"/>
    <w:rsid w:val="00251560"/>
    <w:rsid w:val="00284201"/>
    <w:rsid w:val="00297E15"/>
    <w:rsid w:val="003067CC"/>
    <w:rsid w:val="00336169"/>
    <w:rsid w:val="00336391"/>
    <w:rsid w:val="00352218"/>
    <w:rsid w:val="0046511D"/>
    <w:rsid w:val="00652450"/>
    <w:rsid w:val="0071357A"/>
    <w:rsid w:val="008D510B"/>
    <w:rsid w:val="00A15939"/>
    <w:rsid w:val="00A71F48"/>
    <w:rsid w:val="00A77B03"/>
    <w:rsid w:val="00AD4D98"/>
    <w:rsid w:val="00BB695D"/>
    <w:rsid w:val="00DB3468"/>
    <w:rsid w:val="00D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BE2"/>
  <w15:chartTrackingRefBased/>
  <w15:docId w15:val="{68052F94-D240-4F23-9247-0766660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39"/>
    <w:pPr>
      <w:spacing w:after="20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1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A1593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9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59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59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5939"/>
    <w:rPr>
      <w:vertAlign w:val="superscript"/>
    </w:rPr>
  </w:style>
  <w:style w:type="paragraph" w:styleId="a7">
    <w:name w:val="TOC Heading"/>
    <w:basedOn w:val="1"/>
    <w:next w:val="a"/>
    <w:uiPriority w:val="39"/>
    <w:semiHidden/>
    <w:unhideWhenUsed/>
    <w:qFormat/>
    <w:rsid w:val="00A159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5939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 w:cs="Arial"/>
      <w:noProof/>
      <w:sz w:val="24"/>
      <w:szCs w:val="24"/>
    </w:rPr>
  </w:style>
  <w:style w:type="character" w:styleId="a8">
    <w:name w:val="Hyperlink"/>
    <w:basedOn w:val="a0"/>
    <w:uiPriority w:val="99"/>
    <w:unhideWhenUsed/>
    <w:rsid w:val="00A15939"/>
    <w:rPr>
      <w:color w:val="0563C1" w:themeColor="hyperlink"/>
      <w:u w:val="single"/>
    </w:rPr>
  </w:style>
  <w:style w:type="paragraph" w:styleId="a9">
    <w:name w:val="Body Text"/>
    <w:basedOn w:val="a"/>
    <w:link w:val="aa"/>
    <w:rsid w:val="00A159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A1593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numbering" w:customStyle="1" w:styleId="2">
    <w:name w:val="Стиль2"/>
    <w:uiPriority w:val="99"/>
    <w:rsid w:val="00A15939"/>
    <w:pPr>
      <w:numPr>
        <w:numId w:val="6"/>
      </w:numPr>
    </w:pPr>
  </w:style>
  <w:style w:type="paragraph" w:styleId="ab">
    <w:name w:val="header"/>
    <w:basedOn w:val="a"/>
    <w:link w:val="ac"/>
    <w:uiPriority w:val="99"/>
    <w:unhideWhenUsed/>
    <w:rsid w:val="00A1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5939"/>
  </w:style>
  <w:style w:type="paragraph" w:styleId="ad">
    <w:name w:val="Balloon Text"/>
    <w:basedOn w:val="a"/>
    <w:link w:val="ae"/>
    <w:uiPriority w:val="99"/>
    <w:semiHidden/>
    <w:unhideWhenUsed/>
    <w:rsid w:val="0024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Сенчакова Олеся Алексеевна</dc:creator>
  <cp:keywords/>
  <dc:description/>
  <cp:lastModifiedBy>Сенчакова Олеся Алексеевна</cp:lastModifiedBy>
  <cp:revision>5</cp:revision>
  <cp:lastPrinted>2022-08-08T09:26:00Z</cp:lastPrinted>
  <dcterms:created xsi:type="dcterms:W3CDTF">2022-08-08T09:31:00Z</dcterms:created>
  <dcterms:modified xsi:type="dcterms:W3CDTF">2022-08-16T13:22:00Z</dcterms:modified>
</cp:coreProperties>
</file>