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C2B6" w14:textId="77777777" w:rsidR="00F01FF8" w:rsidRPr="00961BA6" w:rsidRDefault="00F01FF8" w:rsidP="00F01FF8">
      <w:pPr>
        <w:widowControl w:val="0"/>
        <w:overflowPunct w:val="0"/>
        <w:autoSpaceDE w:val="0"/>
        <w:autoSpaceDN w:val="0"/>
        <w:adjustRightInd w:val="0"/>
        <w:spacing w:after="0"/>
        <w:ind w:left="5529" w:firstLine="0"/>
        <w:jc w:val="right"/>
        <w:textAlignment w:val="baseline"/>
        <w:rPr>
          <w:rFonts w:ascii="Times New Roman" w:eastAsia="Times New Roman" w:hAnsi="Times New Roman" w:cs="Times New Roman"/>
          <w:sz w:val="28"/>
          <w:szCs w:val="28"/>
          <w:lang w:eastAsia="ru-RU"/>
        </w:rPr>
      </w:pPr>
      <w:r w:rsidRPr="00961BA6">
        <w:rPr>
          <w:rFonts w:ascii="Times New Roman" w:eastAsia="Times New Roman" w:hAnsi="Times New Roman" w:cs="Times New Roman"/>
          <w:sz w:val="28"/>
          <w:szCs w:val="28"/>
          <w:lang w:eastAsia="ru-RU"/>
        </w:rPr>
        <w:t>УТВЕРЖДЕН</w:t>
      </w:r>
    </w:p>
    <w:p w14:paraId="74EA631C" w14:textId="77777777" w:rsidR="00F01FF8" w:rsidRPr="00961BA6" w:rsidRDefault="00F01FF8" w:rsidP="00F01FF8">
      <w:pPr>
        <w:widowControl w:val="0"/>
        <w:overflowPunct w:val="0"/>
        <w:autoSpaceDE w:val="0"/>
        <w:autoSpaceDN w:val="0"/>
        <w:adjustRightInd w:val="0"/>
        <w:spacing w:after="0"/>
        <w:ind w:left="5529" w:firstLine="0"/>
        <w:jc w:val="right"/>
        <w:textAlignment w:val="baseline"/>
        <w:rPr>
          <w:rFonts w:ascii="Times New Roman" w:eastAsia="Times New Roman" w:hAnsi="Times New Roman" w:cs="Times New Roman"/>
          <w:sz w:val="28"/>
          <w:szCs w:val="28"/>
          <w:lang w:eastAsia="ru-RU"/>
        </w:rPr>
      </w:pPr>
      <w:r w:rsidRPr="00961BA6">
        <w:rPr>
          <w:rFonts w:ascii="Times New Roman" w:eastAsia="Times New Roman" w:hAnsi="Times New Roman" w:cs="Times New Roman"/>
          <w:sz w:val="28"/>
          <w:szCs w:val="28"/>
          <w:lang w:eastAsia="ru-RU"/>
        </w:rPr>
        <w:t xml:space="preserve">Наблюдательным советом </w:t>
      </w:r>
    </w:p>
    <w:p w14:paraId="5EE91356" w14:textId="77777777" w:rsidR="00F01FF8" w:rsidRPr="00961BA6" w:rsidRDefault="00F01FF8" w:rsidP="00F01FF8">
      <w:pPr>
        <w:widowControl w:val="0"/>
        <w:overflowPunct w:val="0"/>
        <w:autoSpaceDE w:val="0"/>
        <w:autoSpaceDN w:val="0"/>
        <w:adjustRightInd w:val="0"/>
        <w:spacing w:after="0"/>
        <w:ind w:left="5529" w:firstLine="0"/>
        <w:jc w:val="right"/>
        <w:textAlignment w:val="baseline"/>
        <w:rPr>
          <w:rFonts w:ascii="Times New Roman" w:eastAsia="Times New Roman" w:hAnsi="Times New Roman" w:cs="Times New Roman"/>
          <w:sz w:val="28"/>
          <w:szCs w:val="28"/>
          <w:lang w:eastAsia="ru-RU"/>
        </w:rPr>
      </w:pPr>
      <w:r w:rsidRPr="00961BA6">
        <w:rPr>
          <w:rFonts w:ascii="Times New Roman" w:eastAsia="Times New Roman" w:hAnsi="Times New Roman" w:cs="Times New Roman"/>
          <w:sz w:val="28"/>
          <w:szCs w:val="28"/>
          <w:lang w:eastAsia="ru-RU"/>
        </w:rPr>
        <w:t>АУ «РФРП ВО»</w:t>
      </w:r>
    </w:p>
    <w:p w14:paraId="2E97A3A2" w14:textId="4790B929" w:rsidR="00F01FF8" w:rsidRPr="00961BA6" w:rsidRDefault="00F01FF8" w:rsidP="00F01FF8">
      <w:pPr>
        <w:widowControl w:val="0"/>
        <w:overflowPunct w:val="0"/>
        <w:autoSpaceDE w:val="0"/>
        <w:autoSpaceDN w:val="0"/>
        <w:adjustRightInd w:val="0"/>
        <w:spacing w:after="0"/>
        <w:ind w:left="5529" w:firstLine="0"/>
        <w:jc w:val="right"/>
        <w:textAlignment w:val="baseline"/>
        <w:rPr>
          <w:rFonts w:ascii="Times New Roman" w:eastAsia="Times New Roman" w:hAnsi="Times New Roman" w:cs="Times New Roman"/>
          <w:sz w:val="28"/>
          <w:szCs w:val="28"/>
          <w:lang w:eastAsia="ru-RU"/>
        </w:rPr>
      </w:pPr>
      <w:r w:rsidRPr="00961BA6">
        <w:rPr>
          <w:rFonts w:ascii="Times New Roman" w:hAnsi="Times New Roman" w:cs="Times New Roman"/>
          <w:sz w:val="28"/>
          <w:szCs w:val="28"/>
        </w:rPr>
        <w:t>«</w:t>
      </w:r>
      <w:r w:rsidR="00BA7E52">
        <w:rPr>
          <w:rFonts w:ascii="Times New Roman" w:hAnsi="Times New Roman" w:cs="Times New Roman"/>
          <w:sz w:val="28"/>
          <w:szCs w:val="28"/>
        </w:rPr>
        <w:t>19</w:t>
      </w:r>
      <w:r w:rsidRPr="00961BA6">
        <w:rPr>
          <w:rFonts w:ascii="Times New Roman" w:hAnsi="Times New Roman" w:cs="Times New Roman"/>
          <w:sz w:val="28"/>
          <w:szCs w:val="28"/>
        </w:rPr>
        <w:t xml:space="preserve">» </w:t>
      </w:r>
      <w:r w:rsidR="00BA7E52">
        <w:rPr>
          <w:rFonts w:ascii="Times New Roman" w:hAnsi="Times New Roman" w:cs="Times New Roman"/>
          <w:sz w:val="28"/>
          <w:szCs w:val="28"/>
        </w:rPr>
        <w:t>сентября</w:t>
      </w:r>
      <w:r w:rsidRPr="00961BA6">
        <w:rPr>
          <w:rFonts w:ascii="Times New Roman" w:hAnsi="Times New Roman" w:cs="Times New Roman"/>
          <w:sz w:val="28"/>
          <w:szCs w:val="28"/>
        </w:rPr>
        <w:t xml:space="preserve"> 2023 г</w:t>
      </w:r>
      <w:r w:rsidRPr="00961BA6">
        <w:rPr>
          <w:rFonts w:ascii="Times New Roman" w:eastAsia="Times New Roman" w:hAnsi="Times New Roman" w:cs="Times New Roman"/>
          <w:sz w:val="28"/>
          <w:szCs w:val="28"/>
          <w:lang w:eastAsia="ru-RU"/>
        </w:rPr>
        <w:t>.</w:t>
      </w:r>
    </w:p>
    <w:p w14:paraId="4660773C" w14:textId="77777777" w:rsidR="009A10D0" w:rsidRPr="00961BA6" w:rsidRDefault="009A10D0"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7DCB0D63" w14:textId="77777777" w:rsidR="00D8333C" w:rsidRPr="00961BA6" w:rsidRDefault="00D8333C"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71CD91F0" w14:textId="77777777" w:rsidR="00D8333C" w:rsidRPr="00961BA6" w:rsidRDefault="00D8333C"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76649181" w14:textId="77777777" w:rsidR="00951EE5" w:rsidRPr="00961BA6" w:rsidRDefault="00951EE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0B2F02AB" w14:textId="77777777" w:rsidR="006115D5" w:rsidRPr="00961BA6" w:rsidRDefault="006115D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258616E4" w14:textId="77777777" w:rsidR="006115D5" w:rsidRPr="00961BA6" w:rsidRDefault="006115D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2428E838" w14:textId="77777777" w:rsidR="006115D5" w:rsidRPr="00961BA6" w:rsidRDefault="006115D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50617972" w14:textId="77777777" w:rsidR="00951EE5" w:rsidRPr="00961BA6" w:rsidRDefault="00951EE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467CE0BB" w14:textId="77777777" w:rsidR="009A10D0" w:rsidRPr="00961BA6" w:rsidRDefault="009A10D0"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14:paraId="3FC6495D" w14:textId="77777777" w:rsidR="00456E0D" w:rsidRPr="00961BA6" w:rsidRDefault="001916B1" w:rsidP="00456E0D">
      <w:pPr>
        <w:spacing w:after="0"/>
        <w:jc w:val="center"/>
        <w:rPr>
          <w:rFonts w:ascii="Times New Roman" w:eastAsia="Times New Roman" w:hAnsi="Times New Roman" w:cs="Times New Roman"/>
          <w:b/>
          <w:sz w:val="28"/>
          <w:szCs w:val="28"/>
          <w:lang w:eastAsia="ru-RU"/>
        </w:rPr>
      </w:pPr>
      <w:r w:rsidRPr="00961BA6">
        <w:rPr>
          <w:rFonts w:ascii="Times New Roman" w:eastAsia="Times New Roman" w:hAnsi="Times New Roman" w:cs="Times New Roman"/>
          <w:b/>
          <w:sz w:val="28"/>
          <w:szCs w:val="28"/>
          <w:lang w:eastAsia="ru-RU"/>
        </w:rPr>
        <w:t xml:space="preserve">СТАНДАРТ </w:t>
      </w:r>
    </w:p>
    <w:p w14:paraId="34F9500C" w14:textId="77777777" w:rsidR="00456E0D" w:rsidRPr="00961BA6" w:rsidRDefault="00456E0D" w:rsidP="00456E0D">
      <w:pPr>
        <w:spacing w:after="0"/>
        <w:jc w:val="center"/>
        <w:rPr>
          <w:rFonts w:ascii="Times New Roman" w:hAnsi="Times New Roman" w:cs="Times New Roman"/>
          <w:b/>
          <w:bCs/>
          <w:sz w:val="28"/>
          <w:szCs w:val="28"/>
        </w:rPr>
      </w:pPr>
      <w:r w:rsidRPr="00961BA6">
        <w:rPr>
          <w:rFonts w:ascii="Times New Roman" w:hAnsi="Times New Roman" w:cs="Times New Roman"/>
          <w:b/>
          <w:bCs/>
          <w:sz w:val="28"/>
          <w:szCs w:val="28"/>
        </w:rPr>
        <w:t>АВТОНОМНОГО УЧРЕЖДЕНИЯ</w:t>
      </w:r>
    </w:p>
    <w:p w14:paraId="5B80BF57" w14:textId="77777777" w:rsidR="00257B1D" w:rsidRPr="00961BA6" w:rsidRDefault="00456E0D" w:rsidP="00456E0D">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961BA6">
        <w:rPr>
          <w:rFonts w:ascii="Times New Roman" w:hAnsi="Times New Roman" w:cs="Times New Roman"/>
          <w:b/>
          <w:bCs/>
          <w:sz w:val="28"/>
          <w:szCs w:val="28"/>
        </w:rPr>
        <w:t xml:space="preserve"> «РЕГИОНАЛЬНЫЙ ФОНД РАЗВИТИЯ ПРОМЫШЛЕННОСТИ ВОРОНЕЖСКОЙ ОБЛАСТИ»</w:t>
      </w:r>
    </w:p>
    <w:p w14:paraId="7539446B" w14:textId="77777777" w:rsidR="00951EE5" w:rsidRPr="00961BA6" w:rsidRDefault="00951EE5" w:rsidP="003C2022">
      <w:pPr>
        <w:widowControl w:val="0"/>
        <w:overflowPunct w:val="0"/>
        <w:autoSpaceDE w:val="0"/>
        <w:autoSpaceDN w:val="0"/>
        <w:adjustRightInd w:val="0"/>
        <w:spacing w:after="0"/>
        <w:jc w:val="center"/>
        <w:rPr>
          <w:rFonts w:ascii="Times New Roman" w:hAnsi="Times New Roman" w:cs="Times New Roman"/>
          <w:b/>
          <w:spacing w:val="-1"/>
          <w:sz w:val="28"/>
          <w:szCs w:val="28"/>
        </w:rPr>
      </w:pPr>
    </w:p>
    <w:p w14:paraId="3102B894" w14:textId="77777777" w:rsidR="00E04EB4" w:rsidRPr="00961BA6" w:rsidRDefault="001916B1" w:rsidP="003C2022">
      <w:pPr>
        <w:widowControl w:val="0"/>
        <w:overflowPunct w:val="0"/>
        <w:autoSpaceDE w:val="0"/>
        <w:autoSpaceDN w:val="0"/>
        <w:adjustRightInd w:val="0"/>
        <w:spacing w:after="0"/>
        <w:jc w:val="center"/>
        <w:rPr>
          <w:rFonts w:ascii="Times New Roman" w:hAnsi="Times New Roman" w:cs="Times New Roman"/>
          <w:b/>
          <w:sz w:val="28"/>
          <w:szCs w:val="28"/>
        </w:rPr>
      </w:pPr>
      <w:r w:rsidRPr="00961BA6">
        <w:rPr>
          <w:rFonts w:ascii="Times New Roman" w:hAnsi="Times New Roman" w:cs="Times New Roman"/>
          <w:b/>
          <w:spacing w:val="-1"/>
          <w:sz w:val="28"/>
          <w:szCs w:val="28"/>
        </w:rPr>
        <w:t xml:space="preserve">ПОРЯДОК </w:t>
      </w:r>
      <w:r w:rsidRPr="00961BA6">
        <w:rPr>
          <w:rFonts w:ascii="Times New Roman" w:hAnsi="Times New Roman" w:cs="Times New Roman"/>
          <w:b/>
          <w:sz w:val="28"/>
          <w:szCs w:val="28"/>
        </w:rPr>
        <w:t xml:space="preserve">ОБЕСПЕЧЕНИЯ ВОЗВРАТА ЗАЙМОВ, </w:t>
      </w:r>
    </w:p>
    <w:p w14:paraId="506FDB68" w14:textId="77777777" w:rsidR="00E04EB4" w:rsidRPr="00961BA6" w:rsidRDefault="001916B1" w:rsidP="003C2022">
      <w:pPr>
        <w:widowControl w:val="0"/>
        <w:overflowPunct w:val="0"/>
        <w:autoSpaceDE w:val="0"/>
        <w:autoSpaceDN w:val="0"/>
        <w:adjustRightInd w:val="0"/>
        <w:spacing w:after="0"/>
        <w:jc w:val="center"/>
        <w:rPr>
          <w:rFonts w:ascii="Times New Roman" w:hAnsi="Times New Roman" w:cs="Times New Roman"/>
          <w:b/>
          <w:sz w:val="28"/>
          <w:szCs w:val="28"/>
        </w:rPr>
      </w:pPr>
      <w:r w:rsidRPr="00961BA6">
        <w:rPr>
          <w:rFonts w:ascii="Times New Roman" w:hAnsi="Times New Roman" w:cs="Times New Roman"/>
          <w:b/>
          <w:sz w:val="28"/>
          <w:szCs w:val="28"/>
        </w:rPr>
        <w:t xml:space="preserve">ПРЕДОСТАВЛЕННЫХ В КАЧЕСТВЕ </w:t>
      </w:r>
    </w:p>
    <w:p w14:paraId="6E411638" w14:textId="77777777" w:rsidR="003F7E0A" w:rsidRPr="00961BA6" w:rsidRDefault="001916B1" w:rsidP="003C2022">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961BA6">
        <w:rPr>
          <w:rFonts w:ascii="Times New Roman" w:hAnsi="Times New Roman" w:cs="Times New Roman"/>
          <w:b/>
          <w:sz w:val="28"/>
          <w:szCs w:val="28"/>
        </w:rPr>
        <w:t>ФИНАНСИРОВАНИЯ ПРОЕКТОВ</w:t>
      </w:r>
    </w:p>
    <w:p w14:paraId="51FE62B2" w14:textId="77777777" w:rsidR="00951EE5" w:rsidRPr="00961BA6" w:rsidRDefault="00951EE5"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271D2659" w14:textId="77777777" w:rsidR="00951EE5" w:rsidRPr="00961BA6" w:rsidRDefault="00951EE5" w:rsidP="00E04EB4">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2454FC73" w14:textId="5B102EB2" w:rsidR="00E42131" w:rsidRPr="00961BA6" w:rsidRDefault="001916B1" w:rsidP="00E04EB4">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961BA6">
        <w:rPr>
          <w:rFonts w:ascii="Times New Roman" w:eastAsia="Times New Roman" w:hAnsi="Times New Roman" w:cs="Times New Roman"/>
          <w:b/>
          <w:sz w:val="28"/>
          <w:szCs w:val="28"/>
          <w:lang w:eastAsia="ru-RU"/>
        </w:rPr>
        <w:t xml:space="preserve">Редакция </w:t>
      </w:r>
      <w:r w:rsidR="00E57213" w:rsidRPr="00961BA6">
        <w:rPr>
          <w:rFonts w:ascii="Times New Roman" w:eastAsia="Times New Roman" w:hAnsi="Times New Roman" w:cs="Times New Roman"/>
          <w:b/>
          <w:sz w:val="28"/>
          <w:szCs w:val="28"/>
          <w:lang w:eastAsia="ru-RU"/>
        </w:rPr>
        <w:t>4</w:t>
      </w:r>
      <w:r w:rsidRPr="00961BA6">
        <w:rPr>
          <w:rFonts w:ascii="Times New Roman" w:eastAsia="Times New Roman" w:hAnsi="Times New Roman" w:cs="Times New Roman"/>
          <w:b/>
          <w:sz w:val="28"/>
          <w:szCs w:val="28"/>
          <w:lang w:eastAsia="ru-RU"/>
        </w:rPr>
        <w:t>.0</w:t>
      </w:r>
    </w:p>
    <w:p w14:paraId="6B6592A1" w14:textId="77777777" w:rsidR="00E42131" w:rsidRPr="00961BA6" w:rsidRDefault="00E42131"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32B715F0" w14:textId="77777777" w:rsidR="00CB3B5F" w:rsidRPr="00961BA6" w:rsidRDefault="001916B1"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961BA6">
        <w:rPr>
          <w:rFonts w:ascii="Times New Roman" w:eastAsia="Times New Roman" w:hAnsi="Times New Roman" w:cs="Times New Roman"/>
          <w:b/>
          <w:sz w:val="28"/>
          <w:szCs w:val="28"/>
          <w:lang w:eastAsia="ru-RU"/>
        </w:rPr>
        <w:t xml:space="preserve">№ </w:t>
      </w:r>
      <w:r w:rsidRPr="00961BA6">
        <w:rPr>
          <w:rFonts w:ascii="Times New Roman" w:hAnsi="Times New Roman" w:cs="Times New Roman"/>
          <w:b/>
          <w:sz w:val="28"/>
          <w:szCs w:val="28"/>
          <w:u w:val="single"/>
        </w:rPr>
        <w:t>СФ-03</w:t>
      </w:r>
    </w:p>
    <w:p w14:paraId="34D15DF2" w14:textId="77777777" w:rsidR="00CB3B5F" w:rsidRPr="00961BA6"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5F0DEADF" w14:textId="77777777" w:rsidR="00CB3B5F" w:rsidRPr="00961BA6"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33F864AC" w14:textId="77777777" w:rsidR="00CB3B5F" w:rsidRPr="00961BA6"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5B3AF765" w14:textId="77777777" w:rsidR="00CB3B5F" w:rsidRPr="00961BA6"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0031C087" w14:textId="77777777" w:rsidR="006115D5" w:rsidRPr="00961BA6" w:rsidRDefault="006115D5"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0FB39E90" w14:textId="77777777" w:rsidR="006115D5" w:rsidRPr="00961BA6" w:rsidRDefault="006115D5"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78D6B188" w14:textId="77777777" w:rsidR="006115D5" w:rsidRPr="00961BA6" w:rsidRDefault="006115D5"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5F65B7F4" w14:textId="77777777" w:rsidR="00CB3B5F" w:rsidRPr="00961BA6"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5C4F004D" w14:textId="77777777" w:rsidR="00CB3B5F" w:rsidRPr="00961BA6"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5DCB830E" w14:textId="77777777" w:rsidR="00131607" w:rsidRPr="00961BA6"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636F9E4E" w14:textId="77777777" w:rsidR="00131607" w:rsidRPr="00961BA6"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4C18F798" w14:textId="77777777" w:rsidR="00131607" w:rsidRPr="00961BA6"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74DF5337" w14:textId="77777777" w:rsidR="00131607" w:rsidRPr="00961BA6"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36884C62" w14:textId="77777777" w:rsidR="00131607" w:rsidRPr="00961BA6"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25E7188E" w14:textId="77777777" w:rsidR="00D8333C" w:rsidRPr="00961BA6" w:rsidRDefault="00D8333C"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14:paraId="2DA5C7F8" w14:textId="77777777" w:rsidR="00F86C22" w:rsidRPr="00961BA6" w:rsidRDefault="001916B1" w:rsidP="00EA5DE6">
      <w:pPr>
        <w:widowControl w:val="0"/>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961BA6">
        <w:rPr>
          <w:rFonts w:ascii="Times New Roman" w:eastAsia="Times New Roman" w:hAnsi="Times New Roman" w:cs="Times New Roman"/>
          <w:sz w:val="28"/>
          <w:szCs w:val="28"/>
          <w:lang w:eastAsia="ru-RU"/>
        </w:rPr>
        <w:t>Воронеж</w:t>
      </w:r>
    </w:p>
    <w:p w14:paraId="4BF53A67" w14:textId="0653B15A" w:rsidR="00E521B7" w:rsidRPr="00961BA6" w:rsidRDefault="001916B1" w:rsidP="00476561">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961BA6">
        <w:rPr>
          <w:rFonts w:ascii="Times New Roman" w:eastAsia="Times New Roman" w:hAnsi="Times New Roman" w:cs="Times New Roman"/>
          <w:sz w:val="28"/>
          <w:szCs w:val="28"/>
          <w:lang w:eastAsia="ru-RU"/>
        </w:rPr>
        <w:t>202</w:t>
      </w:r>
      <w:r w:rsidR="00E57213" w:rsidRPr="00961BA6">
        <w:rPr>
          <w:rFonts w:ascii="Times New Roman" w:eastAsia="Times New Roman" w:hAnsi="Times New Roman" w:cs="Times New Roman"/>
          <w:sz w:val="28"/>
          <w:szCs w:val="28"/>
          <w:lang w:eastAsia="ru-RU"/>
        </w:rPr>
        <w:t>3</w:t>
      </w:r>
      <w:r w:rsidRPr="00961BA6">
        <w:rPr>
          <w:rFonts w:ascii="Times New Roman" w:eastAsia="Times New Roman" w:hAnsi="Times New Roman" w:cs="Times New Roman"/>
          <w:b/>
          <w:sz w:val="28"/>
          <w:szCs w:val="28"/>
          <w:lang w:eastAsia="ru-RU"/>
        </w:rPr>
        <w:br w:type="page"/>
      </w:r>
    </w:p>
    <w:p w14:paraId="7E9FA90E" w14:textId="77777777" w:rsidR="00214287" w:rsidRPr="00961BA6" w:rsidRDefault="00214287" w:rsidP="008A7201">
      <w:pPr>
        <w:spacing w:after="0"/>
        <w:ind w:firstLine="0"/>
        <w:rPr>
          <w:rFonts w:ascii="Times New Roman" w:hAnsi="Times New Roman" w:cs="Times New Roman"/>
          <w:b/>
          <w:bCs/>
          <w:sz w:val="28"/>
          <w:szCs w:val="28"/>
        </w:rPr>
      </w:pPr>
      <w:r w:rsidRPr="00961BA6">
        <w:rPr>
          <w:rFonts w:ascii="Times New Roman" w:hAnsi="Times New Roman" w:cs="Times New Roman"/>
          <w:b/>
          <w:bCs/>
          <w:sz w:val="28"/>
          <w:szCs w:val="28"/>
        </w:rPr>
        <w:lastRenderedPageBreak/>
        <w:t>Содержание</w:t>
      </w:r>
    </w:p>
    <w:p w14:paraId="1CA9A37D" w14:textId="77777777" w:rsidR="00D65F1C" w:rsidRPr="00961BA6" w:rsidRDefault="00D65F1C" w:rsidP="005354E0">
      <w:pPr>
        <w:widowControl w:val="0"/>
        <w:tabs>
          <w:tab w:val="left" w:pos="284"/>
        </w:tabs>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sz w:val="28"/>
          <w:szCs w:val="28"/>
          <w:lang w:eastAsia="ru-RU"/>
        </w:rPr>
      </w:pPr>
    </w:p>
    <w:p w14:paraId="32F1A6B6" w14:textId="5F37D8F1" w:rsidR="00BD675A" w:rsidRPr="00961BA6" w:rsidRDefault="001916B1" w:rsidP="008A7201">
      <w:pPr>
        <w:pStyle w:val="14"/>
        <w:ind w:left="0"/>
        <w:rPr>
          <w:rFonts w:asciiTheme="minorHAnsi" w:eastAsiaTheme="minorEastAsia" w:hAnsiTheme="minorHAnsi" w:cstheme="minorBidi"/>
          <w:sz w:val="22"/>
          <w:szCs w:val="22"/>
          <w:lang w:eastAsia="ru-RU"/>
        </w:rPr>
      </w:pPr>
      <w:r w:rsidRPr="00961BA6">
        <w:rPr>
          <w:rStyle w:val="af3"/>
          <w:b/>
          <w:color w:val="auto"/>
        </w:rPr>
        <w:fldChar w:fldCharType="begin"/>
      </w:r>
      <w:r w:rsidRPr="00961BA6">
        <w:rPr>
          <w:rStyle w:val="af3"/>
          <w:b/>
          <w:color w:val="auto"/>
        </w:rPr>
        <w:instrText xml:space="preserve"> TOC \o "1-1" \h \z \t "Заголовок приложения;2" </w:instrText>
      </w:r>
      <w:r w:rsidRPr="00961BA6">
        <w:rPr>
          <w:rStyle w:val="af3"/>
          <w:b/>
          <w:color w:val="auto"/>
        </w:rPr>
        <w:fldChar w:fldCharType="separate"/>
      </w:r>
      <w:hyperlink w:anchor="_Toc61340738" w:history="1">
        <w:r w:rsidR="00BD675A" w:rsidRPr="00961BA6">
          <w:rPr>
            <w:rStyle w:val="af3"/>
          </w:rPr>
          <w:t>Предисловие</w:t>
        </w:r>
        <w:r w:rsidR="00BD675A" w:rsidRPr="00961BA6">
          <w:rPr>
            <w:webHidden/>
          </w:rPr>
          <w:tab/>
        </w:r>
        <w:r w:rsidR="00BD675A" w:rsidRPr="00961BA6">
          <w:rPr>
            <w:webHidden/>
          </w:rPr>
          <w:fldChar w:fldCharType="begin"/>
        </w:r>
        <w:r w:rsidR="00BD675A" w:rsidRPr="00961BA6">
          <w:rPr>
            <w:webHidden/>
          </w:rPr>
          <w:instrText xml:space="preserve"> PAGEREF _Toc61340738 \h </w:instrText>
        </w:r>
        <w:r w:rsidR="00BD675A" w:rsidRPr="00961BA6">
          <w:rPr>
            <w:webHidden/>
          </w:rPr>
        </w:r>
        <w:r w:rsidR="00BD675A" w:rsidRPr="00961BA6">
          <w:rPr>
            <w:webHidden/>
          </w:rPr>
          <w:fldChar w:fldCharType="separate"/>
        </w:r>
        <w:r w:rsidR="00B73221" w:rsidRPr="00961BA6">
          <w:rPr>
            <w:webHidden/>
          </w:rPr>
          <w:t>3</w:t>
        </w:r>
        <w:r w:rsidR="00BD675A" w:rsidRPr="00961BA6">
          <w:rPr>
            <w:webHidden/>
          </w:rPr>
          <w:fldChar w:fldCharType="end"/>
        </w:r>
      </w:hyperlink>
    </w:p>
    <w:p w14:paraId="7B9565B6" w14:textId="67C5EB24"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39" w:history="1">
        <w:r w:rsidR="00BD675A" w:rsidRPr="00961BA6">
          <w:rPr>
            <w:rStyle w:val="af3"/>
          </w:rPr>
          <w:t>1.</w:t>
        </w:r>
        <w:r w:rsidR="00BD675A" w:rsidRPr="00961BA6">
          <w:rPr>
            <w:rFonts w:asciiTheme="minorHAnsi" w:eastAsiaTheme="minorEastAsia" w:hAnsiTheme="minorHAnsi" w:cstheme="minorBidi"/>
            <w:sz w:val="22"/>
            <w:szCs w:val="22"/>
            <w:lang w:eastAsia="ru-RU"/>
          </w:rPr>
          <w:tab/>
        </w:r>
        <w:r w:rsidR="00BD675A" w:rsidRPr="00961BA6">
          <w:rPr>
            <w:rStyle w:val="af3"/>
          </w:rPr>
          <w:t>Введение</w:t>
        </w:r>
        <w:r w:rsidR="00BD675A" w:rsidRPr="00961BA6">
          <w:rPr>
            <w:webHidden/>
          </w:rPr>
          <w:tab/>
        </w:r>
        <w:r w:rsidR="00BD675A" w:rsidRPr="00961BA6">
          <w:rPr>
            <w:webHidden/>
          </w:rPr>
          <w:fldChar w:fldCharType="begin"/>
        </w:r>
        <w:r w:rsidR="00BD675A" w:rsidRPr="00961BA6">
          <w:rPr>
            <w:webHidden/>
          </w:rPr>
          <w:instrText xml:space="preserve"> PAGEREF _Toc61340739 \h </w:instrText>
        </w:r>
        <w:r w:rsidR="00BD675A" w:rsidRPr="00961BA6">
          <w:rPr>
            <w:webHidden/>
          </w:rPr>
        </w:r>
        <w:r w:rsidR="00BD675A" w:rsidRPr="00961BA6">
          <w:rPr>
            <w:webHidden/>
          </w:rPr>
          <w:fldChar w:fldCharType="separate"/>
        </w:r>
        <w:r w:rsidR="00B73221" w:rsidRPr="00961BA6">
          <w:rPr>
            <w:webHidden/>
          </w:rPr>
          <w:t>4</w:t>
        </w:r>
        <w:r w:rsidR="00BD675A" w:rsidRPr="00961BA6">
          <w:rPr>
            <w:webHidden/>
          </w:rPr>
          <w:fldChar w:fldCharType="end"/>
        </w:r>
      </w:hyperlink>
    </w:p>
    <w:p w14:paraId="2D6BEFE7" w14:textId="18B75AB2"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40" w:history="1">
        <w:r w:rsidR="00BD675A" w:rsidRPr="00961BA6">
          <w:rPr>
            <w:rStyle w:val="af3"/>
          </w:rPr>
          <w:t>2.</w:t>
        </w:r>
        <w:r w:rsidR="00BD675A" w:rsidRPr="00961BA6">
          <w:rPr>
            <w:rFonts w:asciiTheme="minorHAnsi" w:eastAsiaTheme="minorEastAsia" w:hAnsiTheme="minorHAnsi" w:cstheme="minorBidi"/>
            <w:sz w:val="22"/>
            <w:szCs w:val="22"/>
            <w:lang w:eastAsia="ru-RU"/>
          </w:rPr>
          <w:tab/>
        </w:r>
        <w:r w:rsidR="00BD675A" w:rsidRPr="00961BA6">
          <w:rPr>
            <w:rStyle w:val="af3"/>
          </w:rPr>
          <w:t>Основные термины и определения</w:t>
        </w:r>
        <w:r w:rsidR="00BD675A" w:rsidRPr="00961BA6">
          <w:rPr>
            <w:webHidden/>
          </w:rPr>
          <w:tab/>
        </w:r>
        <w:r w:rsidR="00BD675A" w:rsidRPr="00961BA6">
          <w:rPr>
            <w:webHidden/>
          </w:rPr>
          <w:fldChar w:fldCharType="begin"/>
        </w:r>
        <w:r w:rsidR="00BD675A" w:rsidRPr="00961BA6">
          <w:rPr>
            <w:webHidden/>
          </w:rPr>
          <w:instrText xml:space="preserve"> PAGEREF _Toc61340740 \h </w:instrText>
        </w:r>
        <w:r w:rsidR="00BD675A" w:rsidRPr="00961BA6">
          <w:rPr>
            <w:webHidden/>
          </w:rPr>
        </w:r>
        <w:r w:rsidR="00BD675A" w:rsidRPr="00961BA6">
          <w:rPr>
            <w:webHidden/>
          </w:rPr>
          <w:fldChar w:fldCharType="separate"/>
        </w:r>
        <w:r w:rsidR="00B73221" w:rsidRPr="00961BA6">
          <w:rPr>
            <w:webHidden/>
          </w:rPr>
          <w:t>4</w:t>
        </w:r>
        <w:r w:rsidR="00BD675A" w:rsidRPr="00961BA6">
          <w:rPr>
            <w:webHidden/>
          </w:rPr>
          <w:fldChar w:fldCharType="end"/>
        </w:r>
      </w:hyperlink>
    </w:p>
    <w:p w14:paraId="20DF4344" w14:textId="3C18FFF9"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41" w:history="1">
        <w:r w:rsidR="00BD675A" w:rsidRPr="00961BA6">
          <w:rPr>
            <w:rStyle w:val="af3"/>
          </w:rPr>
          <w:t>3.</w:t>
        </w:r>
        <w:r w:rsidR="00BD675A" w:rsidRPr="00961BA6">
          <w:rPr>
            <w:rFonts w:asciiTheme="minorHAnsi" w:eastAsiaTheme="minorEastAsia" w:hAnsiTheme="minorHAnsi" w:cstheme="minorBidi"/>
            <w:sz w:val="22"/>
            <w:szCs w:val="22"/>
            <w:lang w:eastAsia="ru-RU"/>
          </w:rPr>
          <w:tab/>
        </w:r>
        <w:r w:rsidR="00BD675A" w:rsidRPr="00961BA6">
          <w:rPr>
            <w:rStyle w:val="af3"/>
          </w:rPr>
          <w:t>Виды используемого фондами обеспечения</w:t>
        </w:r>
        <w:r w:rsidR="00BD675A" w:rsidRPr="00961BA6">
          <w:rPr>
            <w:webHidden/>
          </w:rPr>
          <w:tab/>
        </w:r>
        <w:r w:rsidR="00BD675A" w:rsidRPr="00961BA6">
          <w:rPr>
            <w:webHidden/>
          </w:rPr>
          <w:fldChar w:fldCharType="begin"/>
        </w:r>
        <w:r w:rsidR="00BD675A" w:rsidRPr="00961BA6">
          <w:rPr>
            <w:webHidden/>
          </w:rPr>
          <w:instrText xml:space="preserve"> PAGEREF _Toc61340741 \h </w:instrText>
        </w:r>
        <w:r w:rsidR="00BD675A" w:rsidRPr="00961BA6">
          <w:rPr>
            <w:webHidden/>
          </w:rPr>
        </w:r>
        <w:r w:rsidR="00BD675A" w:rsidRPr="00961BA6">
          <w:rPr>
            <w:webHidden/>
          </w:rPr>
          <w:fldChar w:fldCharType="separate"/>
        </w:r>
        <w:r w:rsidR="00B73221" w:rsidRPr="00961BA6">
          <w:rPr>
            <w:webHidden/>
          </w:rPr>
          <w:t>5</w:t>
        </w:r>
        <w:r w:rsidR="00BD675A" w:rsidRPr="00961BA6">
          <w:rPr>
            <w:webHidden/>
          </w:rPr>
          <w:fldChar w:fldCharType="end"/>
        </w:r>
      </w:hyperlink>
    </w:p>
    <w:p w14:paraId="30245315" w14:textId="556A9785"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42" w:history="1">
        <w:r w:rsidR="00BD675A" w:rsidRPr="00961BA6">
          <w:rPr>
            <w:rStyle w:val="af3"/>
          </w:rPr>
          <w:t>4.</w:t>
        </w:r>
        <w:r w:rsidR="00BD675A" w:rsidRPr="00961BA6">
          <w:rPr>
            <w:rFonts w:asciiTheme="minorHAnsi" w:eastAsiaTheme="minorEastAsia" w:hAnsiTheme="minorHAnsi" w:cstheme="minorBidi"/>
            <w:sz w:val="22"/>
            <w:szCs w:val="22"/>
            <w:lang w:eastAsia="ru-RU"/>
          </w:rPr>
          <w:tab/>
        </w:r>
        <w:r w:rsidR="00BD675A" w:rsidRPr="00961BA6">
          <w:rPr>
            <w:rStyle w:val="af3"/>
          </w:rPr>
          <w:t>Ковенанты</w:t>
        </w:r>
        <w:r w:rsidR="00BD675A" w:rsidRPr="00961BA6">
          <w:rPr>
            <w:webHidden/>
          </w:rPr>
          <w:tab/>
        </w:r>
        <w:r w:rsidR="00BD675A" w:rsidRPr="00961BA6">
          <w:rPr>
            <w:webHidden/>
          </w:rPr>
          <w:fldChar w:fldCharType="begin"/>
        </w:r>
        <w:r w:rsidR="00BD675A" w:rsidRPr="00961BA6">
          <w:rPr>
            <w:webHidden/>
          </w:rPr>
          <w:instrText xml:space="preserve"> PAGEREF _Toc61340742 \h </w:instrText>
        </w:r>
        <w:r w:rsidR="00BD675A" w:rsidRPr="00961BA6">
          <w:rPr>
            <w:webHidden/>
          </w:rPr>
        </w:r>
        <w:r w:rsidR="00BD675A" w:rsidRPr="00961BA6">
          <w:rPr>
            <w:webHidden/>
          </w:rPr>
          <w:fldChar w:fldCharType="separate"/>
        </w:r>
        <w:r w:rsidR="00B73221" w:rsidRPr="00961BA6">
          <w:rPr>
            <w:webHidden/>
          </w:rPr>
          <w:t>9</w:t>
        </w:r>
        <w:r w:rsidR="00BD675A" w:rsidRPr="00961BA6">
          <w:rPr>
            <w:webHidden/>
          </w:rPr>
          <w:fldChar w:fldCharType="end"/>
        </w:r>
      </w:hyperlink>
    </w:p>
    <w:p w14:paraId="7C941C20" w14:textId="3F4FC1C6"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43" w:history="1">
        <w:r w:rsidR="00BD675A" w:rsidRPr="00961BA6">
          <w:rPr>
            <w:rStyle w:val="af3"/>
          </w:rPr>
          <w:t>5.</w:t>
        </w:r>
        <w:r w:rsidR="00BD675A" w:rsidRPr="00961BA6">
          <w:rPr>
            <w:rFonts w:asciiTheme="minorHAnsi" w:eastAsiaTheme="minorEastAsia" w:hAnsiTheme="minorHAnsi" w:cstheme="minorBidi"/>
            <w:sz w:val="22"/>
            <w:szCs w:val="22"/>
            <w:lang w:eastAsia="ru-RU"/>
          </w:rPr>
          <w:tab/>
        </w:r>
        <w:r w:rsidR="00BD675A" w:rsidRPr="00961BA6">
          <w:rPr>
            <w:rStyle w:val="af3"/>
          </w:rPr>
          <w:t xml:space="preserve">Управление </w:t>
        </w:r>
        <w:r w:rsidR="00427527" w:rsidRPr="00961BA6">
          <w:rPr>
            <w:rStyle w:val="af3"/>
          </w:rPr>
          <w:t>о</w:t>
        </w:r>
        <w:r w:rsidR="00BD675A" w:rsidRPr="00961BA6">
          <w:rPr>
            <w:rStyle w:val="af3"/>
          </w:rPr>
          <w:t>беспечением возврата средств на стадии экспертизы и оформления договора займа</w:t>
        </w:r>
        <w:r w:rsidR="00BD675A" w:rsidRPr="00961BA6">
          <w:rPr>
            <w:webHidden/>
          </w:rPr>
          <w:tab/>
        </w:r>
        <w:r w:rsidR="00BD675A" w:rsidRPr="00961BA6">
          <w:rPr>
            <w:webHidden/>
          </w:rPr>
          <w:fldChar w:fldCharType="begin"/>
        </w:r>
        <w:r w:rsidR="00BD675A" w:rsidRPr="00961BA6">
          <w:rPr>
            <w:webHidden/>
          </w:rPr>
          <w:instrText xml:space="preserve"> PAGEREF _Toc61340743 \h </w:instrText>
        </w:r>
        <w:r w:rsidR="00BD675A" w:rsidRPr="00961BA6">
          <w:rPr>
            <w:webHidden/>
          </w:rPr>
        </w:r>
        <w:r w:rsidR="00BD675A" w:rsidRPr="00961BA6">
          <w:rPr>
            <w:webHidden/>
          </w:rPr>
          <w:fldChar w:fldCharType="separate"/>
        </w:r>
        <w:r w:rsidR="00B73221" w:rsidRPr="00961BA6">
          <w:rPr>
            <w:webHidden/>
          </w:rPr>
          <w:t>11</w:t>
        </w:r>
        <w:r w:rsidR="00BD675A" w:rsidRPr="00961BA6">
          <w:rPr>
            <w:webHidden/>
          </w:rPr>
          <w:fldChar w:fldCharType="end"/>
        </w:r>
      </w:hyperlink>
    </w:p>
    <w:p w14:paraId="5907ED1D" w14:textId="5C73D3E5"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44" w:history="1">
        <w:r w:rsidR="00BD675A" w:rsidRPr="00961BA6">
          <w:rPr>
            <w:rStyle w:val="af3"/>
          </w:rPr>
          <w:t>6.</w:t>
        </w:r>
        <w:r w:rsidR="00BD675A" w:rsidRPr="00961BA6">
          <w:rPr>
            <w:rFonts w:asciiTheme="minorHAnsi" w:eastAsiaTheme="minorEastAsia" w:hAnsiTheme="minorHAnsi" w:cstheme="minorBidi"/>
            <w:sz w:val="22"/>
            <w:szCs w:val="22"/>
            <w:lang w:eastAsia="ru-RU"/>
          </w:rPr>
          <w:tab/>
        </w:r>
        <w:r w:rsidR="00BD675A" w:rsidRPr="00961BA6">
          <w:rPr>
            <w:rStyle w:val="af3"/>
          </w:rPr>
          <w:t xml:space="preserve">Мониторинг состояния и управление изменением </w:t>
        </w:r>
        <w:r w:rsidR="003D0F96" w:rsidRPr="00961BA6">
          <w:rPr>
            <w:rStyle w:val="af3"/>
          </w:rPr>
          <w:t>о</w:t>
        </w:r>
        <w:r w:rsidR="00BD675A" w:rsidRPr="00961BA6">
          <w:rPr>
            <w:rStyle w:val="af3"/>
          </w:rPr>
          <w:t>беспечения</w:t>
        </w:r>
        <w:r w:rsidR="00BD675A" w:rsidRPr="00961BA6">
          <w:rPr>
            <w:webHidden/>
          </w:rPr>
          <w:tab/>
        </w:r>
        <w:r w:rsidR="00BD675A" w:rsidRPr="00961BA6">
          <w:rPr>
            <w:webHidden/>
          </w:rPr>
          <w:fldChar w:fldCharType="begin"/>
        </w:r>
        <w:r w:rsidR="00BD675A" w:rsidRPr="00961BA6">
          <w:rPr>
            <w:webHidden/>
          </w:rPr>
          <w:instrText xml:space="preserve"> PAGEREF _Toc61340744 \h </w:instrText>
        </w:r>
        <w:r w:rsidR="00BD675A" w:rsidRPr="00961BA6">
          <w:rPr>
            <w:webHidden/>
          </w:rPr>
        </w:r>
        <w:r w:rsidR="00BD675A" w:rsidRPr="00961BA6">
          <w:rPr>
            <w:webHidden/>
          </w:rPr>
          <w:fldChar w:fldCharType="separate"/>
        </w:r>
        <w:r w:rsidR="00B73221" w:rsidRPr="00961BA6">
          <w:rPr>
            <w:webHidden/>
          </w:rPr>
          <w:t>12</w:t>
        </w:r>
        <w:r w:rsidR="00BD675A" w:rsidRPr="00961BA6">
          <w:rPr>
            <w:webHidden/>
          </w:rPr>
          <w:fldChar w:fldCharType="end"/>
        </w:r>
      </w:hyperlink>
    </w:p>
    <w:p w14:paraId="2020442F" w14:textId="06C81ADA"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45" w:history="1">
        <w:r w:rsidR="00BD675A" w:rsidRPr="00961BA6">
          <w:rPr>
            <w:rStyle w:val="af3"/>
          </w:rPr>
          <w:t>Приложение № 1</w:t>
        </w:r>
        <w:r w:rsidR="00BD675A" w:rsidRPr="00961BA6">
          <w:rPr>
            <w:webHidden/>
          </w:rPr>
          <w:tab/>
        </w:r>
        <w:r w:rsidR="00BD675A" w:rsidRPr="00961BA6">
          <w:rPr>
            <w:webHidden/>
          </w:rPr>
          <w:fldChar w:fldCharType="begin"/>
        </w:r>
        <w:r w:rsidR="00BD675A" w:rsidRPr="00961BA6">
          <w:rPr>
            <w:webHidden/>
          </w:rPr>
          <w:instrText xml:space="preserve"> PAGEREF _Toc61340745 \h </w:instrText>
        </w:r>
        <w:r w:rsidR="00BD675A" w:rsidRPr="00961BA6">
          <w:rPr>
            <w:webHidden/>
          </w:rPr>
        </w:r>
        <w:r w:rsidR="00BD675A" w:rsidRPr="00961BA6">
          <w:rPr>
            <w:webHidden/>
          </w:rPr>
          <w:fldChar w:fldCharType="separate"/>
        </w:r>
        <w:r w:rsidR="00B73221" w:rsidRPr="00961BA6">
          <w:rPr>
            <w:webHidden/>
          </w:rPr>
          <w:t>15</w:t>
        </w:r>
        <w:r w:rsidR="00BD675A" w:rsidRPr="00961BA6">
          <w:rPr>
            <w:webHidden/>
          </w:rPr>
          <w:fldChar w:fldCharType="end"/>
        </w:r>
      </w:hyperlink>
    </w:p>
    <w:p w14:paraId="10E47FF7" w14:textId="2B00E6DD"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46" w:history="1">
        <w:r w:rsidR="00BD675A" w:rsidRPr="00961BA6">
          <w:rPr>
            <w:rStyle w:val="af3"/>
          </w:rPr>
          <w:t>Приложение № 2</w:t>
        </w:r>
        <w:r w:rsidR="00BD675A" w:rsidRPr="00961BA6">
          <w:rPr>
            <w:webHidden/>
          </w:rPr>
          <w:tab/>
        </w:r>
        <w:r w:rsidR="00BD675A" w:rsidRPr="00961BA6">
          <w:rPr>
            <w:webHidden/>
          </w:rPr>
          <w:fldChar w:fldCharType="begin"/>
        </w:r>
        <w:r w:rsidR="00BD675A" w:rsidRPr="00961BA6">
          <w:rPr>
            <w:webHidden/>
          </w:rPr>
          <w:instrText xml:space="preserve"> PAGEREF _Toc61340746 \h </w:instrText>
        </w:r>
        <w:r w:rsidR="00BD675A" w:rsidRPr="00961BA6">
          <w:rPr>
            <w:webHidden/>
          </w:rPr>
        </w:r>
        <w:r w:rsidR="00BD675A" w:rsidRPr="00961BA6">
          <w:rPr>
            <w:webHidden/>
          </w:rPr>
          <w:fldChar w:fldCharType="separate"/>
        </w:r>
        <w:r w:rsidR="00B73221" w:rsidRPr="00961BA6">
          <w:rPr>
            <w:webHidden/>
          </w:rPr>
          <w:t>17</w:t>
        </w:r>
        <w:r w:rsidR="00BD675A" w:rsidRPr="00961BA6">
          <w:rPr>
            <w:webHidden/>
          </w:rPr>
          <w:fldChar w:fldCharType="end"/>
        </w:r>
      </w:hyperlink>
    </w:p>
    <w:p w14:paraId="290DE5BF" w14:textId="5498D0FC" w:rsidR="00BD675A" w:rsidRPr="00961BA6" w:rsidRDefault="00D70599" w:rsidP="008A7201">
      <w:pPr>
        <w:pStyle w:val="14"/>
        <w:ind w:left="0"/>
        <w:rPr>
          <w:rFonts w:asciiTheme="minorHAnsi" w:eastAsiaTheme="minorEastAsia" w:hAnsiTheme="minorHAnsi" w:cstheme="minorBidi"/>
          <w:sz w:val="22"/>
          <w:szCs w:val="22"/>
          <w:lang w:eastAsia="ru-RU"/>
        </w:rPr>
      </w:pPr>
      <w:hyperlink w:anchor="_Toc61340747" w:history="1">
        <w:r w:rsidR="00BD675A" w:rsidRPr="00961BA6">
          <w:rPr>
            <w:rStyle w:val="af3"/>
          </w:rPr>
          <w:t>Приложение № 3</w:t>
        </w:r>
        <w:r w:rsidR="00BD675A" w:rsidRPr="00961BA6">
          <w:rPr>
            <w:webHidden/>
          </w:rPr>
          <w:tab/>
        </w:r>
        <w:r w:rsidR="00BD675A" w:rsidRPr="00961BA6">
          <w:rPr>
            <w:webHidden/>
          </w:rPr>
          <w:fldChar w:fldCharType="begin"/>
        </w:r>
        <w:r w:rsidR="00BD675A" w:rsidRPr="00961BA6">
          <w:rPr>
            <w:webHidden/>
          </w:rPr>
          <w:instrText xml:space="preserve"> PAGEREF _Toc61340747 \h </w:instrText>
        </w:r>
        <w:r w:rsidR="00BD675A" w:rsidRPr="00961BA6">
          <w:rPr>
            <w:webHidden/>
          </w:rPr>
        </w:r>
        <w:r w:rsidR="00BD675A" w:rsidRPr="00961BA6">
          <w:rPr>
            <w:webHidden/>
          </w:rPr>
          <w:fldChar w:fldCharType="separate"/>
        </w:r>
        <w:r w:rsidR="00B73221" w:rsidRPr="00961BA6">
          <w:rPr>
            <w:webHidden/>
          </w:rPr>
          <w:t>18</w:t>
        </w:r>
        <w:r w:rsidR="00BD675A" w:rsidRPr="00961BA6">
          <w:rPr>
            <w:webHidden/>
          </w:rPr>
          <w:fldChar w:fldCharType="end"/>
        </w:r>
      </w:hyperlink>
    </w:p>
    <w:p w14:paraId="1533A103" w14:textId="77777777" w:rsidR="007B3371" w:rsidRPr="00961BA6" w:rsidRDefault="001916B1" w:rsidP="008A7201">
      <w:pPr>
        <w:pStyle w:val="14"/>
        <w:ind w:left="0"/>
        <w:rPr>
          <w:rStyle w:val="af4"/>
          <w:lang w:eastAsia="ru-RU"/>
        </w:rPr>
      </w:pPr>
      <w:r w:rsidRPr="00961BA6">
        <w:rPr>
          <w:rStyle w:val="af3"/>
          <w:b/>
          <w:color w:val="auto"/>
        </w:rPr>
        <w:fldChar w:fldCharType="end"/>
      </w:r>
      <w:r w:rsidR="00BD675A" w:rsidRPr="00961BA6">
        <w:rPr>
          <w:rStyle w:val="af4"/>
          <w:lang w:eastAsia="ru-RU"/>
        </w:rPr>
        <w:t xml:space="preserve"> </w:t>
      </w:r>
      <w:r w:rsidRPr="00961BA6">
        <w:rPr>
          <w:rStyle w:val="af4"/>
          <w:lang w:eastAsia="ru-RU"/>
        </w:rPr>
        <w:br w:type="page"/>
      </w:r>
    </w:p>
    <w:p w14:paraId="478325DC" w14:textId="77777777" w:rsidR="00031AD5" w:rsidRPr="00961BA6" w:rsidRDefault="00031AD5" w:rsidP="00CD1D2F">
      <w:pPr>
        <w:pStyle w:val="1"/>
        <w:numPr>
          <w:ilvl w:val="0"/>
          <w:numId w:val="0"/>
        </w:numPr>
        <w:tabs>
          <w:tab w:val="left" w:pos="426"/>
        </w:tabs>
        <w:spacing w:after="360"/>
        <w:ind w:left="709"/>
        <w:rPr>
          <w:szCs w:val="28"/>
        </w:rPr>
      </w:pPr>
      <w:bookmarkStart w:id="0" w:name="_Toc61340738"/>
      <w:r w:rsidRPr="00961BA6">
        <w:rPr>
          <w:szCs w:val="28"/>
        </w:rPr>
        <w:lastRenderedPageBreak/>
        <w:t>Предисловие</w:t>
      </w:r>
      <w:bookmarkEnd w:id="0"/>
    </w:p>
    <w:p w14:paraId="0D5055F2" w14:textId="3FA1773B" w:rsidR="00031AD5" w:rsidRPr="00961BA6" w:rsidRDefault="00031AD5" w:rsidP="00031AD5">
      <w:pPr>
        <w:pStyle w:val="a4"/>
        <w:numPr>
          <w:ilvl w:val="0"/>
          <w:numId w:val="13"/>
        </w:numPr>
        <w:ind w:left="0" w:firstLine="709"/>
        <w:rPr>
          <w:rFonts w:ascii="Times New Roman" w:hAnsi="Times New Roman" w:cs="Times New Roman"/>
          <w:sz w:val="28"/>
          <w:szCs w:val="28"/>
        </w:rPr>
      </w:pPr>
      <w:r w:rsidRPr="00961BA6">
        <w:rPr>
          <w:rFonts w:ascii="Times New Roman" w:hAnsi="Times New Roman" w:cs="Times New Roman"/>
          <w:sz w:val="28"/>
          <w:szCs w:val="28"/>
        </w:rPr>
        <w:t xml:space="preserve">Разработан Автономным учреждением «Региональный фонд развития промышленности Воронежской области» (АУ «РФРП ВО») в соответствии с </w:t>
      </w:r>
      <w:r w:rsidR="00BC2C64" w:rsidRPr="00961BA6">
        <w:rPr>
          <w:rFonts w:ascii="Times New Roman" w:hAnsi="Times New Roman" w:cs="Times New Roman"/>
          <w:sz w:val="28"/>
          <w:szCs w:val="28"/>
        </w:rPr>
        <w:t>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постановлением Правительства Воронежской области от 12.01.2021 № 5 «Об определении исполнительных органов государственной власти Воронежской области, уполномоченных на принятие нормативных правовых актов, устанавливающих порядок определения объема и условий предоставления государственным бюджетным и автономным учреждениям Воронежской области субсидий на иные цели, и признании утратившими силу отдельных постановлений правительства Воронежской области».</w:t>
      </w:r>
    </w:p>
    <w:p w14:paraId="5DFDE367" w14:textId="77777777" w:rsidR="00031AD5" w:rsidRPr="00961BA6" w:rsidRDefault="00031AD5" w:rsidP="00031AD5">
      <w:pPr>
        <w:pStyle w:val="a4"/>
        <w:ind w:left="709" w:firstLine="0"/>
        <w:rPr>
          <w:rFonts w:ascii="Times New Roman" w:hAnsi="Times New Roman" w:cs="Times New Roman"/>
          <w:sz w:val="28"/>
          <w:szCs w:val="28"/>
        </w:rPr>
      </w:pPr>
    </w:p>
    <w:p w14:paraId="683485EB" w14:textId="5A004A40" w:rsidR="00463D4F" w:rsidRPr="00961BA6" w:rsidRDefault="00463D4F" w:rsidP="0078323D">
      <w:pPr>
        <w:pStyle w:val="a4"/>
        <w:numPr>
          <w:ilvl w:val="0"/>
          <w:numId w:val="13"/>
        </w:numPr>
        <w:spacing w:after="0" w:line="276" w:lineRule="auto"/>
        <w:ind w:left="0" w:firstLine="709"/>
        <w:rPr>
          <w:rFonts w:ascii="Times New Roman" w:hAnsi="Times New Roman" w:cs="Times New Roman"/>
          <w:sz w:val="28"/>
          <w:szCs w:val="28"/>
        </w:rPr>
      </w:pPr>
      <w:r w:rsidRPr="00961BA6">
        <w:rPr>
          <w:rFonts w:ascii="Times New Roman" w:hAnsi="Times New Roman" w:cs="Times New Roman"/>
          <w:sz w:val="28"/>
          <w:szCs w:val="28"/>
        </w:rPr>
        <w:t xml:space="preserve">Утвержден Наблюдательным советом АУ «РФРП ВО» (в редакции </w:t>
      </w:r>
      <w:r w:rsidR="00BA7E52">
        <w:rPr>
          <w:rFonts w:ascii="Times New Roman" w:hAnsi="Times New Roman" w:cs="Times New Roman"/>
          <w:sz w:val="28"/>
          <w:szCs w:val="28"/>
        </w:rPr>
        <w:t>4</w:t>
      </w:r>
      <w:r w:rsidRPr="00961BA6">
        <w:rPr>
          <w:rFonts w:ascii="Times New Roman" w:hAnsi="Times New Roman" w:cs="Times New Roman"/>
          <w:sz w:val="28"/>
          <w:szCs w:val="28"/>
        </w:rPr>
        <w:t xml:space="preserve">.0) </w:t>
      </w:r>
      <w:r w:rsidR="00BA7E52">
        <w:rPr>
          <w:rFonts w:ascii="Times New Roman" w:hAnsi="Times New Roman" w:cs="Times New Roman"/>
          <w:sz w:val="28"/>
          <w:szCs w:val="28"/>
        </w:rPr>
        <w:t>19</w:t>
      </w:r>
      <w:r w:rsidRPr="00961BA6">
        <w:rPr>
          <w:rFonts w:ascii="Times New Roman" w:hAnsi="Times New Roman" w:cs="Times New Roman"/>
          <w:sz w:val="28"/>
          <w:szCs w:val="28"/>
        </w:rPr>
        <w:t>.</w:t>
      </w:r>
      <w:r w:rsidR="00BA7E52">
        <w:rPr>
          <w:rFonts w:ascii="Times New Roman" w:hAnsi="Times New Roman" w:cs="Times New Roman"/>
          <w:sz w:val="28"/>
          <w:szCs w:val="28"/>
        </w:rPr>
        <w:t>09</w:t>
      </w:r>
      <w:r w:rsidRPr="00961BA6">
        <w:rPr>
          <w:rFonts w:ascii="Times New Roman" w:hAnsi="Times New Roman" w:cs="Times New Roman"/>
          <w:sz w:val="28"/>
          <w:szCs w:val="28"/>
        </w:rPr>
        <w:t xml:space="preserve">.2023 (Протокол № </w:t>
      </w:r>
      <w:r w:rsidR="00BA7E52">
        <w:rPr>
          <w:rFonts w:ascii="Times New Roman" w:hAnsi="Times New Roman" w:cs="Times New Roman"/>
          <w:sz w:val="28"/>
          <w:szCs w:val="28"/>
        </w:rPr>
        <w:t>51</w:t>
      </w:r>
      <w:r w:rsidRPr="00961BA6">
        <w:rPr>
          <w:rFonts w:ascii="Times New Roman" w:hAnsi="Times New Roman" w:cs="Times New Roman"/>
          <w:sz w:val="28"/>
          <w:szCs w:val="28"/>
        </w:rPr>
        <w:t xml:space="preserve">, вопрос </w:t>
      </w:r>
      <w:r w:rsidR="00BA7E52">
        <w:rPr>
          <w:rFonts w:ascii="Times New Roman" w:hAnsi="Times New Roman" w:cs="Times New Roman"/>
          <w:sz w:val="28"/>
          <w:szCs w:val="28"/>
        </w:rPr>
        <w:t>2</w:t>
      </w:r>
      <w:r w:rsidRPr="00961BA6">
        <w:rPr>
          <w:rFonts w:ascii="Times New Roman" w:hAnsi="Times New Roman" w:cs="Times New Roman"/>
          <w:sz w:val="28"/>
          <w:szCs w:val="28"/>
        </w:rPr>
        <w:t>).</w:t>
      </w:r>
    </w:p>
    <w:p w14:paraId="42026A4D" w14:textId="77777777" w:rsidR="00463D4F" w:rsidRPr="00961BA6" w:rsidRDefault="00463D4F" w:rsidP="0078323D">
      <w:pPr>
        <w:spacing w:after="0"/>
        <w:ind w:firstLine="709"/>
        <w:contextualSpacing/>
        <w:rPr>
          <w:rFonts w:ascii="Times New Roman" w:hAnsi="Times New Roman" w:cs="Times New Roman"/>
          <w:sz w:val="28"/>
          <w:szCs w:val="28"/>
        </w:rPr>
      </w:pPr>
    </w:p>
    <w:p w14:paraId="71B4F552" w14:textId="155ADC2A" w:rsidR="00463D4F" w:rsidRPr="00961BA6" w:rsidRDefault="00463D4F" w:rsidP="0078323D">
      <w:pPr>
        <w:pStyle w:val="a4"/>
        <w:numPr>
          <w:ilvl w:val="0"/>
          <w:numId w:val="13"/>
        </w:numPr>
        <w:spacing w:after="0" w:line="276" w:lineRule="auto"/>
        <w:ind w:left="0" w:firstLine="709"/>
        <w:rPr>
          <w:rFonts w:ascii="Times New Roman" w:hAnsi="Times New Roman" w:cs="Times New Roman"/>
          <w:sz w:val="28"/>
          <w:szCs w:val="28"/>
        </w:rPr>
      </w:pPr>
      <w:r w:rsidRPr="00961BA6">
        <w:rPr>
          <w:rFonts w:ascii="Times New Roman" w:hAnsi="Times New Roman" w:cs="Times New Roman"/>
          <w:sz w:val="28"/>
          <w:szCs w:val="28"/>
        </w:rPr>
        <w:t xml:space="preserve">Введен в действие с </w:t>
      </w:r>
      <w:r w:rsidR="00BA7E52">
        <w:rPr>
          <w:rFonts w:ascii="Times New Roman" w:hAnsi="Times New Roman" w:cs="Times New Roman"/>
          <w:sz w:val="28"/>
          <w:szCs w:val="28"/>
        </w:rPr>
        <w:t>20</w:t>
      </w:r>
      <w:r w:rsidRPr="00961BA6">
        <w:rPr>
          <w:rFonts w:ascii="Times New Roman" w:hAnsi="Times New Roman" w:cs="Times New Roman"/>
          <w:sz w:val="28"/>
          <w:szCs w:val="28"/>
        </w:rPr>
        <w:t>.</w:t>
      </w:r>
      <w:r w:rsidR="00BA7E52">
        <w:rPr>
          <w:rFonts w:ascii="Times New Roman" w:hAnsi="Times New Roman" w:cs="Times New Roman"/>
          <w:sz w:val="28"/>
          <w:szCs w:val="28"/>
        </w:rPr>
        <w:t>09</w:t>
      </w:r>
      <w:r w:rsidRPr="00961BA6">
        <w:rPr>
          <w:rFonts w:ascii="Times New Roman" w:hAnsi="Times New Roman" w:cs="Times New Roman"/>
          <w:sz w:val="28"/>
          <w:szCs w:val="28"/>
        </w:rPr>
        <w:t xml:space="preserve">.2023 приказом директора АУ «РФРП ВО» от </w:t>
      </w:r>
      <w:r w:rsidR="00BA7E52">
        <w:rPr>
          <w:rFonts w:ascii="Times New Roman" w:hAnsi="Times New Roman" w:cs="Times New Roman"/>
          <w:sz w:val="28"/>
          <w:szCs w:val="28"/>
        </w:rPr>
        <w:t>20</w:t>
      </w:r>
      <w:r w:rsidRPr="00961BA6">
        <w:rPr>
          <w:rFonts w:ascii="Times New Roman" w:hAnsi="Times New Roman" w:cs="Times New Roman"/>
          <w:sz w:val="28"/>
          <w:szCs w:val="28"/>
        </w:rPr>
        <w:t>.</w:t>
      </w:r>
      <w:r w:rsidR="00BA7E52">
        <w:rPr>
          <w:rFonts w:ascii="Times New Roman" w:hAnsi="Times New Roman" w:cs="Times New Roman"/>
          <w:sz w:val="28"/>
          <w:szCs w:val="28"/>
        </w:rPr>
        <w:t>09</w:t>
      </w:r>
      <w:r w:rsidRPr="00961BA6">
        <w:rPr>
          <w:rFonts w:ascii="Times New Roman" w:hAnsi="Times New Roman" w:cs="Times New Roman"/>
          <w:sz w:val="28"/>
          <w:szCs w:val="28"/>
        </w:rPr>
        <w:t xml:space="preserve">.2023 № </w:t>
      </w:r>
      <w:r w:rsidR="00BA7E52">
        <w:rPr>
          <w:rFonts w:ascii="Times New Roman" w:hAnsi="Times New Roman" w:cs="Times New Roman"/>
          <w:sz w:val="28"/>
          <w:szCs w:val="28"/>
        </w:rPr>
        <w:t xml:space="preserve">47 </w:t>
      </w:r>
      <w:bookmarkStart w:id="1" w:name="_GoBack"/>
      <w:bookmarkEnd w:id="1"/>
      <w:r w:rsidRPr="00961BA6">
        <w:rPr>
          <w:rFonts w:ascii="Times New Roman" w:hAnsi="Times New Roman" w:cs="Times New Roman"/>
          <w:sz w:val="28"/>
          <w:szCs w:val="28"/>
        </w:rPr>
        <w:t>«О введении в действие Стандартов АУ «РФРП ВО».</w:t>
      </w:r>
    </w:p>
    <w:p w14:paraId="6B7DDF94" w14:textId="77777777" w:rsidR="00031AD5" w:rsidRPr="00961BA6" w:rsidRDefault="00031AD5" w:rsidP="00031AD5">
      <w:pPr>
        <w:pStyle w:val="a4"/>
        <w:ind w:left="709" w:firstLine="0"/>
        <w:rPr>
          <w:rFonts w:ascii="Times New Roman" w:hAnsi="Times New Roman" w:cs="Times New Roman"/>
          <w:sz w:val="28"/>
          <w:szCs w:val="28"/>
        </w:rPr>
      </w:pPr>
    </w:p>
    <w:p w14:paraId="56F724FA" w14:textId="2C091F2F" w:rsidR="00031AD5" w:rsidRPr="00961BA6" w:rsidRDefault="00031AD5" w:rsidP="00031AD5">
      <w:pPr>
        <w:pStyle w:val="a4"/>
        <w:numPr>
          <w:ilvl w:val="0"/>
          <w:numId w:val="13"/>
        </w:numPr>
        <w:ind w:left="0" w:firstLine="709"/>
        <w:rPr>
          <w:rFonts w:ascii="Times New Roman" w:hAnsi="Times New Roman" w:cs="Times New Roman"/>
          <w:sz w:val="28"/>
          <w:szCs w:val="28"/>
        </w:rPr>
      </w:pPr>
      <w:r w:rsidRPr="00961BA6">
        <w:rPr>
          <w:rFonts w:ascii="Times New Roman" w:hAnsi="Times New Roman" w:cs="Times New Roman"/>
          <w:sz w:val="28"/>
          <w:szCs w:val="28"/>
        </w:rPr>
        <w:t xml:space="preserve">Взамен редакции </w:t>
      </w:r>
      <w:r w:rsidR="000C3914" w:rsidRPr="00961BA6">
        <w:rPr>
          <w:rFonts w:ascii="Times New Roman" w:hAnsi="Times New Roman" w:cs="Times New Roman"/>
          <w:sz w:val="28"/>
          <w:szCs w:val="28"/>
        </w:rPr>
        <w:t>3</w:t>
      </w:r>
      <w:r w:rsidRPr="00961BA6">
        <w:rPr>
          <w:rFonts w:ascii="Times New Roman" w:hAnsi="Times New Roman" w:cs="Times New Roman"/>
          <w:sz w:val="28"/>
          <w:szCs w:val="28"/>
        </w:rPr>
        <w:t xml:space="preserve">.0, введенной в действие с </w:t>
      </w:r>
      <w:r w:rsidR="000C3914" w:rsidRPr="00961BA6">
        <w:rPr>
          <w:rFonts w:ascii="Times New Roman" w:hAnsi="Times New Roman" w:cs="Times New Roman"/>
          <w:sz w:val="28"/>
          <w:szCs w:val="28"/>
        </w:rPr>
        <w:t>11</w:t>
      </w:r>
      <w:r w:rsidRPr="00961BA6">
        <w:rPr>
          <w:rFonts w:ascii="Times New Roman" w:hAnsi="Times New Roman" w:cs="Times New Roman"/>
          <w:sz w:val="28"/>
          <w:szCs w:val="28"/>
        </w:rPr>
        <w:t>.</w:t>
      </w:r>
      <w:r w:rsidR="000C3914" w:rsidRPr="00961BA6">
        <w:rPr>
          <w:rFonts w:ascii="Times New Roman" w:hAnsi="Times New Roman" w:cs="Times New Roman"/>
          <w:sz w:val="28"/>
          <w:szCs w:val="28"/>
        </w:rPr>
        <w:t>01</w:t>
      </w:r>
      <w:r w:rsidRPr="00961BA6">
        <w:rPr>
          <w:rFonts w:ascii="Times New Roman" w:hAnsi="Times New Roman" w:cs="Times New Roman"/>
          <w:sz w:val="28"/>
          <w:szCs w:val="28"/>
        </w:rPr>
        <w:t>.20</w:t>
      </w:r>
      <w:r w:rsidR="000C3914" w:rsidRPr="00961BA6">
        <w:rPr>
          <w:rFonts w:ascii="Times New Roman" w:hAnsi="Times New Roman" w:cs="Times New Roman"/>
          <w:sz w:val="28"/>
          <w:szCs w:val="28"/>
        </w:rPr>
        <w:t>21</w:t>
      </w:r>
      <w:r w:rsidRPr="00961BA6">
        <w:rPr>
          <w:rFonts w:ascii="Times New Roman" w:hAnsi="Times New Roman" w:cs="Times New Roman"/>
          <w:sz w:val="28"/>
          <w:szCs w:val="28"/>
        </w:rPr>
        <w:t xml:space="preserve"> приказом директора АУ «РФРП ВО» </w:t>
      </w:r>
      <w:r w:rsidR="00463D4F" w:rsidRPr="00961BA6">
        <w:rPr>
          <w:rFonts w:ascii="Times New Roman" w:hAnsi="Times New Roman" w:cs="Times New Roman"/>
          <w:sz w:val="28"/>
          <w:szCs w:val="28"/>
        </w:rPr>
        <w:t>от 11.01.2021 № 1 «О введении в действие Стандартов АУ «РФРП ВО»</w:t>
      </w:r>
      <w:r w:rsidRPr="00961BA6">
        <w:rPr>
          <w:rFonts w:ascii="Times New Roman" w:hAnsi="Times New Roman" w:cs="Times New Roman"/>
          <w:sz w:val="28"/>
          <w:szCs w:val="28"/>
        </w:rPr>
        <w:t>.</w:t>
      </w:r>
    </w:p>
    <w:p w14:paraId="62528088" w14:textId="77777777" w:rsidR="00031AD5" w:rsidRPr="00961BA6" w:rsidRDefault="00031AD5" w:rsidP="00031AD5">
      <w:pPr>
        <w:pStyle w:val="a4"/>
        <w:rPr>
          <w:rFonts w:ascii="Times New Roman" w:hAnsi="Times New Roman" w:cs="Times New Roman"/>
          <w:sz w:val="28"/>
          <w:szCs w:val="28"/>
        </w:rPr>
      </w:pPr>
    </w:p>
    <w:p w14:paraId="1219C8F6" w14:textId="77777777" w:rsidR="00031AD5" w:rsidRPr="00961BA6" w:rsidRDefault="00031AD5" w:rsidP="00031AD5">
      <w:pPr>
        <w:pStyle w:val="a4"/>
        <w:ind w:left="709" w:firstLine="0"/>
        <w:rPr>
          <w:rFonts w:ascii="Times New Roman" w:hAnsi="Times New Roman" w:cs="Times New Roman"/>
          <w:sz w:val="28"/>
          <w:szCs w:val="28"/>
        </w:rPr>
      </w:pPr>
    </w:p>
    <w:p w14:paraId="023F39E5" w14:textId="77777777" w:rsidR="00031AD5" w:rsidRPr="00961BA6" w:rsidRDefault="00031AD5" w:rsidP="00031AD5">
      <w:pPr>
        <w:pStyle w:val="a4"/>
        <w:ind w:left="709" w:firstLine="0"/>
        <w:rPr>
          <w:rFonts w:ascii="Times New Roman" w:hAnsi="Times New Roman" w:cs="Times New Roman"/>
          <w:sz w:val="28"/>
          <w:szCs w:val="28"/>
        </w:rPr>
      </w:pPr>
    </w:p>
    <w:p w14:paraId="4E9CC654" w14:textId="77777777" w:rsidR="00031AD5" w:rsidRPr="00961BA6" w:rsidRDefault="00031AD5" w:rsidP="00031AD5">
      <w:pPr>
        <w:pStyle w:val="a4"/>
        <w:ind w:left="709" w:firstLine="0"/>
        <w:rPr>
          <w:rFonts w:ascii="Times New Roman" w:hAnsi="Times New Roman" w:cs="Times New Roman"/>
          <w:sz w:val="28"/>
          <w:szCs w:val="28"/>
        </w:rPr>
      </w:pPr>
    </w:p>
    <w:p w14:paraId="6F7170F0" w14:textId="77777777" w:rsidR="00031AD5" w:rsidRPr="00961BA6" w:rsidRDefault="00031AD5" w:rsidP="00031AD5">
      <w:pPr>
        <w:pStyle w:val="a4"/>
        <w:ind w:left="709" w:firstLine="0"/>
        <w:rPr>
          <w:rFonts w:ascii="Times New Roman" w:hAnsi="Times New Roman" w:cs="Times New Roman"/>
          <w:sz w:val="28"/>
          <w:szCs w:val="28"/>
        </w:rPr>
      </w:pPr>
    </w:p>
    <w:p w14:paraId="6E0691A8" w14:textId="77777777" w:rsidR="00031AD5" w:rsidRPr="00961BA6" w:rsidRDefault="00031AD5" w:rsidP="00031AD5">
      <w:pPr>
        <w:pStyle w:val="a4"/>
        <w:ind w:left="709" w:firstLine="0"/>
        <w:rPr>
          <w:rFonts w:ascii="Times New Roman" w:hAnsi="Times New Roman" w:cs="Times New Roman"/>
          <w:sz w:val="28"/>
          <w:szCs w:val="28"/>
        </w:rPr>
      </w:pPr>
    </w:p>
    <w:p w14:paraId="0D0EDE95" w14:textId="77777777" w:rsidR="00031AD5" w:rsidRPr="00961BA6" w:rsidRDefault="00031AD5" w:rsidP="00031AD5">
      <w:pPr>
        <w:pStyle w:val="a4"/>
        <w:ind w:left="709" w:firstLine="0"/>
        <w:rPr>
          <w:rFonts w:ascii="Times New Roman" w:hAnsi="Times New Roman" w:cs="Times New Roman"/>
          <w:sz w:val="28"/>
          <w:szCs w:val="28"/>
        </w:rPr>
      </w:pPr>
    </w:p>
    <w:p w14:paraId="0E7DBA0C" w14:textId="77777777" w:rsidR="00031AD5" w:rsidRPr="00961BA6" w:rsidRDefault="00031AD5" w:rsidP="00031AD5">
      <w:pPr>
        <w:pStyle w:val="a4"/>
        <w:ind w:left="709" w:firstLine="0"/>
        <w:rPr>
          <w:rFonts w:ascii="Times New Roman" w:hAnsi="Times New Roman" w:cs="Times New Roman"/>
          <w:sz w:val="28"/>
          <w:szCs w:val="28"/>
        </w:rPr>
      </w:pPr>
    </w:p>
    <w:p w14:paraId="08570F84" w14:textId="77777777" w:rsidR="00031AD5" w:rsidRPr="00961BA6" w:rsidRDefault="00031AD5" w:rsidP="00031AD5">
      <w:pPr>
        <w:pStyle w:val="a4"/>
        <w:ind w:left="709" w:firstLine="0"/>
        <w:rPr>
          <w:rFonts w:ascii="Times New Roman" w:hAnsi="Times New Roman" w:cs="Times New Roman"/>
          <w:sz w:val="28"/>
          <w:szCs w:val="28"/>
        </w:rPr>
      </w:pPr>
    </w:p>
    <w:p w14:paraId="0EFAF46D" w14:textId="77777777" w:rsidR="00031AD5" w:rsidRPr="00961BA6" w:rsidRDefault="00031AD5" w:rsidP="00031AD5">
      <w:pPr>
        <w:pStyle w:val="a4"/>
        <w:ind w:left="709" w:firstLine="0"/>
        <w:rPr>
          <w:rFonts w:ascii="Times New Roman" w:hAnsi="Times New Roman" w:cs="Times New Roman"/>
          <w:sz w:val="28"/>
          <w:szCs w:val="28"/>
        </w:rPr>
      </w:pPr>
    </w:p>
    <w:p w14:paraId="4C7FB949" w14:textId="77777777" w:rsidR="00031AD5" w:rsidRPr="00961BA6" w:rsidRDefault="00031AD5" w:rsidP="00031AD5">
      <w:pPr>
        <w:pStyle w:val="a4"/>
        <w:ind w:left="709" w:firstLine="0"/>
        <w:rPr>
          <w:rFonts w:ascii="Times New Roman" w:hAnsi="Times New Roman" w:cs="Times New Roman"/>
          <w:sz w:val="28"/>
          <w:szCs w:val="28"/>
        </w:rPr>
      </w:pPr>
    </w:p>
    <w:p w14:paraId="5AF40E7E" w14:textId="77777777" w:rsidR="00031AD5" w:rsidRPr="00961BA6" w:rsidRDefault="00031AD5" w:rsidP="00031AD5">
      <w:pPr>
        <w:pStyle w:val="a4"/>
        <w:ind w:left="709" w:firstLine="0"/>
        <w:rPr>
          <w:rFonts w:ascii="Times New Roman" w:hAnsi="Times New Roman" w:cs="Times New Roman"/>
          <w:sz w:val="28"/>
          <w:szCs w:val="28"/>
        </w:rPr>
      </w:pPr>
    </w:p>
    <w:p w14:paraId="5FDCE3F8" w14:textId="77777777" w:rsidR="00031AD5" w:rsidRPr="00961BA6" w:rsidRDefault="00031AD5" w:rsidP="00031AD5">
      <w:pPr>
        <w:pStyle w:val="a4"/>
        <w:ind w:left="709" w:firstLine="0"/>
        <w:rPr>
          <w:rFonts w:ascii="Times New Roman" w:hAnsi="Times New Roman" w:cs="Times New Roman"/>
          <w:sz w:val="28"/>
          <w:szCs w:val="28"/>
        </w:rPr>
      </w:pPr>
    </w:p>
    <w:p w14:paraId="38228606" w14:textId="77777777" w:rsidR="00031AD5" w:rsidRPr="00961BA6" w:rsidRDefault="00031AD5" w:rsidP="00031AD5">
      <w:pPr>
        <w:pStyle w:val="a4"/>
        <w:ind w:left="709" w:firstLine="0"/>
        <w:rPr>
          <w:rFonts w:ascii="Times New Roman" w:hAnsi="Times New Roman" w:cs="Times New Roman"/>
          <w:sz w:val="28"/>
          <w:szCs w:val="28"/>
        </w:rPr>
      </w:pPr>
    </w:p>
    <w:p w14:paraId="1F7C615C" w14:textId="77777777" w:rsidR="00031AD5" w:rsidRPr="00961BA6" w:rsidRDefault="00031AD5" w:rsidP="00031AD5">
      <w:pPr>
        <w:pStyle w:val="a4"/>
        <w:ind w:left="709" w:firstLine="0"/>
        <w:rPr>
          <w:rFonts w:ascii="Times New Roman" w:hAnsi="Times New Roman" w:cs="Times New Roman"/>
          <w:sz w:val="28"/>
          <w:szCs w:val="28"/>
        </w:rPr>
      </w:pPr>
    </w:p>
    <w:p w14:paraId="01AFBD59" w14:textId="77777777" w:rsidR="00031AD5" w:rsidRPr="00961BA6" w:rsidRDefault="00031AD5" w:rsidP="00031AD5">
      <w:pPr>
        <w:pStyle w:val="a4"/>
        <w:ind w:left="709" w:firstLine="0"/>
        <w:rPr>
          <w:rFonts w:ascii="Times New Roman" w:hAnsi="Times New Roman" w:cs="Times New Roman"/>
          <w:sz w:val="28"/>
          <w:szCs w:val="28"/>
        </w:rPr>
      </w:pPr>
    </w:p>
    <w:p w14:paraId="0BC3C510" w14:textId="77777777" w:rsidR="00A65BC2" w:rsidRPr="00961BA6" w:rsidRDefault="001916B1" w:rsidP="001C2DDA">
      <w:pPr>
        <w:pStyle w:val="1"/>
        <w:numPr>
          <w:ilvl w:val="0"/>
          <w:numId w:val="6"/>
        </w:numPr>
        <w:tabs>
          <w:tab w:val="left" w:pos="426"/>
        </w:tabs>
        <w:spacing w:after="360"/>
        <w:ind w:left="499" w:firstLine="210"/>
        <w:rPr>
          <w:szCs w:val="28"/>
        </w:rPr>
      </w:pPr>
      <w:bookmarkStart w:id="2" w:name="_Toc61340739"/>
      <w:r w:rsidRPr="00961BA6">
        <w:rPr>
          <w:szCs w:val="28"/>
        </w:rPr>
        <w:lastRenderedPageBreak/>
        <w:t>Введение</w:t>
      </w:r>
      <w:bookmarkEnd w:id="2"/>
    </w:p>
    <w:p w14:paraId="706BC02A" w14:textId="36D591D8" w:rsidR="00D8333C" w:rsidRPr="00961BA6" w:rsidRDefault="00974758" w:rsidP="00600150">
      <w:pPr>
        <w:pStyle w:val="20"/>
        <w:tabs>
          <w:tab w:val="left" w:pos="1134"/>
        </w:tabs>
        <w:spacing w:after="120"/>
        <w:ind w:left="0" w:firstLine="709"/>
        <w:rPr>
          <w:sz w:val="28"/>
          <w:szCs w:val="28"/>
        </w:rPr>
      </w:pPr>
      <w:r w:rsidRPr="00961BA6">
        <w:rPr>
          <w:sz w:val="28"/>
          <w:szCs w:val="28"/>
        </w:rPr>
        <w:t xml:space="preserve"> </w:t>
      </w:r>
      <w:r w:rsidR="004C5560" w:rsidRPr="00961BA6">
        <w:rPr>
          <w:sz w:val="28"/>
          <w:szCs w:val="28"/>
        </w:rPr>
        <w:t xml:space="preserve">Настоящий стандарт устанавливает требования Автономного учреждения </w:t>
      </w:r>
      <w:r w:rsidR="00CE6D06" w:rsidRPr="00961BA6">
        <w:rPr>
          <w:sz w:val="28"/>
          <w:szCs w:val="28"/>
        </w:rPr>
        <w:t>«</w:t>
      </w:r>
      <w:r w:rsidR="001916B1" w:rsidRPr="00961BA6">
        <w:rPr>
          <w:sz w:val="28"/>
          <w:szCs w:val="28"/>
        </w:rPr>
        <w:t>Региональный фонд развития промышленности Воронежской области</w:t>
      </w:r>
      <w:r w:rsidR="00CE6D06" w:rsidRPr="00961BA6">
        <w:rPr>
          <w:sz w:val="28"/>
          <w:szCs w:val="28"/>
        </w:rPr>
        <w:t>»</w:t>
      </w:r>
      <w:r w:rsidR="001916B1" w:rsidRPr="00961BA6">
        <w:rPr>
          <w:sz w:val="28"/>
          <w:szCs w:val="28"/>
        </w:rPr>
        <w:t xml:space="preserve"> (далее – Фонд ВО) к обеспечению возврата средств, предоставленных в соответствии с договорами Займа по проектам, отобранным для финансовой поддержки </w:t>
      </w:r>
      <w:r w:rsidR="00450A9D" w:rsidRPr="00961BA6">
        <w:rPr>
          <w:sz w:val="28"/>
          <w:szCs w:val="28"/>
        </w:rPr>
        <w:t xml:space="preserve">в рамках совместных займов с Федеральным государственным автономным учреждением «Российский фонд технологического развития» (Фонд развития промышленности, далее – Фонд, а вместе именуемые </w:t>
      </w:r>
      <w:r w:rsidR="00915DA7" w:rsidRPr="00961BA6">
        <w:rPr>
          <w:sz w:val="28"/>
          <w:szCs w:val="28"/>
        </w:rPr>
        <w:t>–</w:t>
      </w:r>
      <w:r w:rsidR="00450A9D" w:rsidRPr="00961BA6">
        <w:rPr>
          <w:sz w:val="28"/>
          <w:szCs w:val="28"/>
        </w:rPr>
        <w:t xml:space="preserve"> Фонды). </w:t>
      </w:r>
    </w:p>
    <w:p w14:paraId="70B804CA" w14:textId="345D700E" w:rsidR="00F40AD1" w:rsidRPr="00961BA6" w:rsidRDefault="00974758" w:rsidP="00600150">
      <w:pPr>
        <w:pStyle w:val="20"/>
        <w:tabs>
          <w:tab w:val="left" w:pos="851"/>
          <w:tab w:val="left" w:pos="1134"/>
        </w:tabs>
        <w:spacing w:before="0" w:after="120"/>
        <w:ind w:left="0" w:firstLine="709"/>
        <w:rPr>
          <w:rFonts w:eastAsiaTheme="minorEastAsia"/>
          <w:sz w:val="28"/>
          <w:szCs w:val="28"/>
        </w:rPr>
      </w:pPr>
      <w:r w:rsidRPr="00961BA6">
        <w:rPr>
          <w:sz w:val="28"/>
          <w:szCs w:val="28"/>
        </w:rPr>
        <w:t xml:space="preserve"> </w:t>
      </w:r>
      <w:r w:rsidR="001916B1" w:rsidRPr="00961BA6">
        <w:rPr>
          <w:sz w:val="28"/>
          <w:szCs w:val="28"/>
        </w:rPr>
        <w:t>Стандарт разработан с целью достижения эффективности использования и гарантирования возвратности полученных Фондом</w:t>
      </w:r>
      <w:r w:rsidR="00450A9D" w:rsidRPr="00961BA6">
        <w:rPr>
          <w:sz w:val="28"/>
          <w:szCs w:val="28"/>
        </w:rPr>
        <w:t xml:space="preserve"> ВО</w:t>
      </w:r>
      <w:r w:rsidR="000E7BA1" w:rsidRPr="00961BA6">
        <w:rPr>
          <w:sz w:val="28"/>
          <w:szCs w:val="28"/>
        </w:rPr>
        <w:t xml:space="preserve"> денежных </w:t>
      </w:r>
      <w:r w:rsidR="001916B1" w:rsidRPr="00961BA6">
        <w:rPr>
          <w:sz w:val="28"/>
          <w:szCs w:val="28"/>
        </w:rPr>
        <w:t>средств субсидии, а также средств, полученных при возврате Заемщиками выданных займов и</w:t>
      </w:r>
      <w:r w:rsidR="00932E63" w:rsidRPr="00961BA6">
        <w:rPr>
          <w:sz w:val="28"/>
          <w:szCs w:val="28"/>
        </w:rPr>
        <w:t xml:space="preserve"> </w:t>
      </w:r>
      <w:r w:rsidR="001916B1" w:rsidRPr="00961BA6">
        <w:rPr>
          <w:sz w:val="28"/>
          <w:szCs w:val="28"/>
        </w:rPr>
        <w:t>уплаченных процентов, источником финансового обеспечения которых являлись средства субсидии.</w:t>
      </w:r>
      <w:r w:rsidR="001916B1" w:rsidRPr="00961BA6">
        <w:rPr>
          <w:rFonts w:eastAsia="Calibri"/>
          <w:sz w:val="28"/>
          <w:szCs w:val="28"/>
        </w:rPr>
        <w:t xml:space="preserve"> О</w:t>
      </w:r>
      <w:r w:rsidR="001916B1" w:rsidRPr="00961BA6">
        <w:rPr>
          <w:sz w:val="28"/>
          <w:szCs w:val="28"/>
          <w:shd w:val="clear" w:color="auto" w:fill="FFFFFF"/>
        </w:rPr>
        <w:t>беспечение позволяет минимизировать финансовые риски, связанные с невозвратом Заемщиком выданного Займа.</w:t>
      </w:r>
    </w:p>
    <w:p w14:paraId="5E9CAB33" w14:textId="77777777" w:rsidR="00031AC2" w:rsidRPr="00961BA6" w:rsidRDefault="001916B1" w:rsidP="00932E63">
      <w:pPr>
        <w:pStyle w:val="1"/>
        <w:numPr>
          <w:ilvl w:val="0"/>
          <w:numId w:val="6"/>
        </w:numPr>
        <w:tabs>
          <w:tab w:val="left" w:pos="426"/>
        </w:tabs>
        <w:spacing w:after="360"/>
        <w:ind w:left="499" w:firstLine="210"/>
        <w:rPr>
          <w:szCs w:val="28"/>
        </w:rPr>
      </w:pPr>
      <w:bookmarkStart w:id="3" w:name="_Toc61340740"/>
      <w:r w:rsidRPr="00961BA6">
        <w:rPr>
          <w:szCs w:val="28"/>
        </w:rPr>
        <w:t>Основные термины и определения</w:t>
      </w:r>
      <w:bookmarkEnd w:id="3"/>
    </w:p>
    <w:p w14:paraId="3B609A12" w14:textId="26660440" w:rsidR="00031AC2" w:rsidRPr="00961BA6" w:rsidRDefault="001916B1" w:rsidP="0005268A">
      <w:pPr>
        <w:pStyle w:val="20"/>
        <w:numPr>
          <w:ilvl w:val="0"/>
          <w:numId w:val="0"/>
        </w:numPr>
        <w:ind w:firstLine="709"/>
        <w:rPr>
          <w:sz w:val="28"/>
          <w:szCs w:val="28"/>
          <w:shd w:val="clear" w:color="auto" w:fill="FFFFFF"/>
        </w:rPr>
      </w:pPr>
      <w:r w:rsidRPr="00961BA6">
        <w:rPr>
          <w:b/>
          <w:sz w:val="28"/>
          <w:szCs w:val="28"/>
          <w:shd w:val="clear" w:color="auto" w:fill="FFFFFF"/>
        </w:rPr>
        <w:t xml:space="preserve">Гарант </w:t>
      </w:r>
      <w:r w:rsidRPr="00961BA6">
        <w:rPr>
          <w:sz w:val="28"/>
          <w:szCs w:val="28"/>
          <w:shd w:val="clear" w:color="auto" w:fill="FFFFFF"/>
        </w:rPr>
        <w:t xml:space="preserve">– юридическое лицо, обязавшееся уплатить </w:t>
      </w:r>
      <w:r w:rsidR="00672E61" w:rsidRPr="00961BA6">
        <w:rPr>
          <w:sz w:val="28"/>
          <w:szCs w:val="28"/>
          <w:shd w:val="clear" w:color="auto" w:fill="FFFFFF"/>
        </w:rPr>
        <w:t>Фондам</w:t>
      </w:r>
      <w:r w:rsidR="00450A9D" w:rsidRPr="00961BA6">
        <w:rPr>
          <w:sz w:val="28"/>
          <w:szCs w:val="28"/>
          <w:shd w:val="clear" w:color="auto" w:fill="FFFFFF"/>
        </w:rPr>
        <w:t xml:space="preserve"> </w:t>
      </w:r>
      <w:r w:rsidRPr="00961BA6">
        <w:rPr>
          <w:sz w:val="28"/>
          <w:szCs w:val="28"/>
          <w:shd w:val="clear" w:color="auto" w:fill="FFFFFF"/>
        </w:rPr>
        <w:t>(бенефициар</w:t>
      </w:r>
      <w:r w:rsidR="004A1CBA" w:rsidRPr="00961BA6">
        <w:rPr>
          <w:sz w:val="28"/>
          <w:szCs w:val="28"/>
          <w:shd w:val="clear" w:color="auto" w:fill="FFFFFF"/>
        </w:rPr>
        <w:t>ам</w:t>
      </w:r>
      <w:r w:rsidRPr="00961BA6">
        <w:rPr>
          <w:sz w:val="28"/>
          <w:szCs w:val="28"/>
          <w:shd w:val="clear" w:color="auto" w:fill="FFFFFF"/>
        </w:rPr>
        <w:t>) определенную денежную сумму в соответствии с условиями гарантии, независимо от действительности обеспечиваемого такой гарантией обязательства по договору займа.</w:t>
      </w:r>
    </w:p>
    <w:p w14:paraId="04037684" w14:textId="77777777" w:rsidR="00FF1432" w:rsidRPr="00961BA6" w:rsidRDefault="001916B1" w:rsidP="0005268A">
      <w:pPr>
        <w:pStyle w:val="ConsPlusNormal"/>
        <w:spacing w:before="120"/>
        <w:ind w:firstLine="709"/>
        <w:jc w:val="both"/>
        <w:rPr>
          <w:rFonts w:ascii="Times New Roman" w:hAnsi="Times New Roman" w:cs="Times New Roman"/>
          <w:sz w:val="28"/>
          <w:szCs w:val="28"/>
          <w:shd w:val="clear" w:color="auto" w:fill="FFFFFF"/>
        </w:rPr>
      </w:pPr>
      <w:r w:rsidRPr="00961BA6">
        <w:rPr>
          <w:rFonts w:ascii="Times New Roman" w:hAnsi="Times New Roman" w:cs="Times New Roman"/>
          <w:b/>
          <w:bCs/>
          <w:sz w:val="28"/>
          <w:szCs w:val="28"/>
          <w:shd w:val="clear" w:color="auto" w:fill="FFFFFF"/>
        </w:rPr>
        <w:t>Достаточность обеспечения</w:t>
      </w:r>
      <w:r w:rsidRPr="00961BA6">
        <w:rPr>
          <w:rFonts w:ascii="Times New Roman" w:hAnsi="Times New Roman" w:cs="Times New Roman"/>
          <w:sz w:val="28"/>
          <w:szCs w:val="28"/>
          <w:shd w:val="clear" w:color="auto" w:fill="FFFFFF"/>
        </w:rPr>
        <w:t xml:space="preserve"> – отношение суммы залоговой стоимости и/или объема гарантированных обязательств по независимой гарантии (поручительству), принимаемых в качестве Основного обеспечения, к размеру основного долга и подлежащих уплате процентов по займу</w:t>
      </w:r>
    </w:p>
    <w:p w14:paraId="13E64E7E" w14:textId="77777777" w:rsidR="00540F01" w:rsidRPr="00961BA6" w:rsidRDefault="001916B1" w:rsidP="0005268A">
      <w:pPr>
        <w:pStyle w:val="ConsPlusNormal"/>
        <w:spacing w:before="120"/>
        <w:ind w:firstLine="709"/>
        <w:jc w:val="both"/>
        <w:rPr>
          <w:rFonts w:ascii="Times New Roman" w:hAnsi="Times New Roman" w:cs="Times New Roman"/>
          <w:sz w:val="28"/>
          <w:szCs w:val="28"/>
        </w:rPr>
      </w:pPr>
      <w:r w:rsidRPr="00961BA6">
        <w:rPr>
          <w:rFonts w:ascii="Times New Roman" w:hAnsi="Times New Roman" w:cs="Times New Roman"/>
          <w:b/>
          <w:sz w:val="28"/>
          <w:szCs w:val="28"/>
        </w:rPr>
        <w:t>Заемщик</w:t>
      </w:r>
      <w:r w:rsidRPr="00961BA6">
        <w:rPr>
          <w:rFonts w:ascii="Times New Roman" w:hAnsi="Times New Roman" w:cs="Times New Roman"/>
          <w:sz w:val="28"/>
          <w:szCs w:val="28"/>
        </w:rPr>
        <w:t xml:space="preserve"> – российское юридическое лицо </w:t>
      </w:r>
      <w:r w:rsidRPr="00961BA6">
        <w:rPr>
          <w:rFonts w:ascii="Times New Roman" w:eastAsiaTheme="minorEastAsia" w:hAnsi="Times New Roman" w:cs="Times New Roman"/>
          <w:sz w:val="28"/>
          <w:szCs w:val="28"/>
          <w:lang w:eastAsia="ru-RU"/>
        </w:rPr>
        <w:t>или индивидуальный предприниматель</w:t>
      </w:r>
      <w:r w:rsidRPr="00961BA6">
        <w:rPr>
          <w:rFonts w:ascii="Times New Roman" w:hAnsi="Times New Roman" w:cs="Times New Roman"/>
          <w:sz w:val="28"/>
          <w:szCs w:val="28"/>
        </w:rPr>
        <w:t xml:space="preserve">, </w:t>
      </w:r>
      <w:r w:rsidRPr="00961BA6">
        <w:rPr>
          <w:rFonts w:ascii="Times New Roman" w:eastAsiaTheme="minorEastAsia" w:hAnsi="Times New Roman" w:cs="Times New Roman"/>
          <w:sz w:val="28"/>
          <w:szCs w:val="28"/>
          <w:lang w:eastAsia="ru-RU"/>
        </w:rPr>
        <w:t xml:space="preserve">заключивший с </w:t>
      </w:r>
      <w:r w:rsidR="00450A9D" w:rsidRPr="00961BA6">
        <w:rPr>
          <w:rFonts w:ascii="Times New Roman" w:eastAsiaTheme="minorEastAsia" w:hAnsi="Times New Roman" w:cs="Times New Roman"/>
          <w:sz w:val="28"/>
          <w:szCs w:val="28"/>
          <w:lang w:eastAsia="ru-RU"/>
        </w:rPr>
        <w:t xml:space="preserve">Фондами </w:t>
      </w:r>
      <w:r w:rsidRPr="00961BA6">
        <w:rPr>
          <w:rFonts w:ascii="Times New Roman" w:eastAsiaTheme="minorEastAsia" w:hAnsi="Times New Roman" w:cs="Times New Roman"/>
          <w:sz w:val="28"/>
          <w:szCs w:val="28"/>
          <w:lang w:eastAsia="ru-RU"/>
        </w:rPr>
        <w:t>договор займа с целью финансирования проекта, а также заявитель,</w:t>
      </w:r>
      <w:r w:rsidR="001B1B49" w:rsidRPr="00961BA6">
        <w:rPr>
          <w:rFonts w:ascii="Times New Roman" w:eastAsiaTheme="minorEastAsia" w:hAnsi="Times New Roman" w:cs="Times New Roman"/>
          <w:sz w:val="28"/>
          <w:szCs w:val="28"/>
          <w:lang w:eastAsia="ru-RU"/>
        </w:rPr>
        <w:t xml:space="preserve"> </w:t>
      </w:r>
      <w:r w:rsidRPr="00961BA6">
        <w:rPr>
          <w:rFonts w:ascii="Times New Roman" w:hAnsi="Times New Roman" w:cs="Times New Roman"/>
          <w:sz w:val="28"/>
          <w:szCs w:val="28"/>
        </w:rPr>
        <w:t>предоставивший документы в Фонд</w:t>
      </w:r>
      <w:r w:rsidR="00450A9D" w:rsidRPr="00961BA6">
        <w:rPr>
          <w:rFonts w:ascii="Times New Roman" w:hAnsi="Times New Roman" w:cs="Times New Roman"/>
          <w:sz w:val="28"/>
          <w:szCs w:val="28"/>
        </w:rPr>
        <w:t>ы</w:t>
      </w:r>
      <w:r w:rsidRPr="00961BA6">
        <w:rPr>
          <w:rFonts w:ascii="Times New Roman" w:hAnsi="Times New Roman" w:cs="Times New Roman"/>
          <w:sz w:val="28"/>
          <w:szCs w:val="28"/>
        </w:rPr>
        <w:t xml:space="preserve"> для участия в программах финансирования.</w:t>
      </w:r>
    </w:p>
    <w:p w14:paraId="055DF585" w14:textId="39C7FBD9" w:rsidR="00540F01" w:rsidRPr="00961BA6" w:rsidRDefault="001916B1" w:rsidP="0005268A">
      <w:pPr>
        <w:pStyle w:val="ConsPlusNormal"/>
        <w:spacing w:before="120"/>
        <w:ind w:firstLine="709"/>
        <w:jc w:val="both"/>
        <w:rPr>
          <w:rFonts w:ascii="Times New Roman" w:eastAsia="Times New Roman" w:hAnsi="Times New Roman" w:cs="Times New Roman"/>
          <w:sz w:val="28"/>
          <w:szCs w:val="28"/>
          <w:shd w:val="clear" w:color="auto" w:fill="FFFFFF"/>
          <w:lang w:eastAsia="ru-RU"/>
        </w:rPr>
      </w:pPr>
      <w:r w:rsidRPr="00961BA6">
        <w:rPr>
          <w:rFonts w:ascii="Times New Roman" w:eastAsia="Times New Roman" w:hAnsi="Times New Roman" w:cs="Times New Roman"/>
          <w:b/>
          <w:sz w:val="28"/>
          <w:szCs w:val="28"/>
          <w:shd w:val="clear" w:color="auto" w:fill="FFFFFF"/>
          <w:lang w:eastAsia="ru-RU"/>
        </w:rPr>
        <w:t xml:space="preserve">Залогодатель </w:t>
      </w:r>
      <w:r w:rsidRPr="00961BA6">
        <w:rPr>
          <w:rFonts w:ascii="Times New Roman" w:eastAsia="Times New Roman" w:hAnsi="Times New Roman" w:cs="Times New Roman"/>
          <w:sz w:val="28"/>
          <w:szCs w:val="28"/>
          <w:shd w:val="clear" w:color="auto" w:fill="FFFFFF"/>
          <w:lang w:eastAsia="ru-RU"/>
        </w:rPr>
        <w:t>– заемщик или третье лицо, которому принадлежит имущество, предоставленное в качестве залога в обеспечение обязательств по договору займа.</w:t>
      </w:r>
    </w:p>
    <w:p w14:paraId="481583C8" w14:textId="6EE209AA" w:rsidR="007D2860" w:rsidRPr="00961BA6" w:rsidRDefault="007D2860" w:rsidP="007D2860">
      <w:pPr>
        <w:pStyle w:val="ConsPlusNormal"/>
        <w:spacing w:before="120"/>
        <w:ind w:firstLine="709"/>
        <w:jc w:val="both"/>
        <w:rPr>
          <w:rFonts w:ascii="Times New Roman" w:eastAsia="Times New Roman" w:hAnsi="Times New Roman" w:cs="Times New Roman"/>
          <w:bCs/>
          <w:sz w:val="28"/>
          <w:szCs w:val="28"/>
          <w:shd w:val="clear" w:color="auto" w:fill="FFFFFF"/>
          <w:lang w:eastAsia="ru-RU"/>
        </w:rPr>
      </w:pPr>
      <w:r w:rsidRPr="00961BA6">
        <w:rPr>
          <w:rFonts w:ascii="Times New Roman" w:eastAsia="Times New Roman" w:hAnsi="Times New Roman" w:cs="Times New Roman"/>
          <w:b/>
          <w:sz w:val="28"/>
          <w:szCs w:val="28"/>
          <w:shd w:val="clear" w:color="auto" w:fill="FFFFFF"/>
          <w:lang w:eastAsia="ru-RU"/>
        </w:rPr>
        <w:t xml:space="preserve">Залоговая стоимость </w:t>
      </w:r>
      <w:r w:rsidRPr="00961BA6">
        <w:rPr>
          <w:rFonts w:ascii="Times New Roman" w:eastAsia="Times New Roman" w:hAnsi="Times New Roman" w:cs="Times New Roman"/>
          <w:bCs/>
          <w:sz w:val="28"/>
          <w:szCs w:val="28"/>
          <w:shd w:val="clear" w:color="auto" w:fill="FFFFFF"/>
          <w:lang w:eastAsia="ru-RU"/>
        </w:rPr>
        <w:t>– стоимость предмета залога, согласованная сторонами</w:t>
      </w:r>
      <w:r w:rsidR="00ED0AD9" w:rsidRPr="00961BA6">
        <w:rPr>
          <w:rFonts w:ascii="Times New Roman" w:eastAsia="Times New Roman" w:hAnsi="Times New Roman" w:cs="Times New Roman"/>
          <w:bCs/>
          <w:sz w:val="28"/>
          <w:szCs w:val="28"/>
          <w:shd w:val="clear" w:color="auto" w:fill="FFFFFF"/>
          <w:lang w:eastAsia="ru-RU"/>
        </w:rPr>
        <w:t xml:space="preserve"> </w:t>
      </w:r>
      <w:r w:rsidRPr="00961BA6">
        <w:rPr>
          <w:rFonts w:ascii="Times New Roman" w:eastAsia="Times New Roman" w:hAnsi="Times New Roman" w:cs="Times New Roman"/>
          <w:bCs/>
          <w:sz w:val="28"/>
          <w:szCs w:val="28"/>
          <w:shd w:val="clear" w:color="auto" w:fill="FFFFFF"/>
          <w:lang w:eastAsia="ru-RU"/>
        </w:rPr>
        <w:t>на основании отчета оценочной компании, либо на основании указанной в договоре (контракте) стоимости приобретения (в отношении оборудования</w:t>
      </w:r>
      <w:r w:rsidR="00ED0AD9" w:rsidRPr="00961BA6">
        <w:rPr>
          <w:rFonts w:ascii="Times New Roman" w:eastAsia="Times New Roman" w:hAnsi="Times New Roman" w:cs="Times New Roman"/>
          <w:bCs/>
          <w:sz w:val="28"/>
          <w:szCs w:val="28"/>
          <w:shd w:val="clear" w:color="auto" w:fill="FFFFFF"/>
          <w:lang w:eastAsia="ru-RU"/>
        </w:rPr>
        <w:t>,</w:t>
      </w:r>
      <w:r w:rsidRPr="00961BA6">
        <w:rPr>
          <w:rFonts w:ascii="Times New Roman" w:eastAsia="Times New Roman" w:hAnsi="Times New Roman" w:cs="Times New Roman"/>
          <w:bCs/>
          <w:sz w:val="28"/>
          <w:szCs w:val="28"/>
          <w:shd w:val="clear" w:color="auto" w:fill="FFFFFF"/>
          <w:lang w:eastAsia="ru-RU"/>
        </w:rPr>
        <w:t xml:space="preserve"> приобретаемого за счет средств займа).</w:t>
      </w:r>
    </w:p>
    <w:p w14:paraId="2BAF2D25" w14:textId="77777777" w:rsidR="00FF1432" w:rsidRPr="00961BA6" w:rsidRDefault="001916B1" w:rsidP="002B6702">
      <w:pPr>
        <w:pStyle w:val="20"/>
        <w:numPr>
          <w:ilvl w:val="0"/>
          <w:numId w:val="0"/>
        </w:numPr>
        <w:ind w:firstLine="709"/>
        <w:rPr>
          <w:sz w:val="28"/>
          <w:szCs w:val="28"/>
          <w:shd w:val="clear" w:color="auto" w:fill="FFFFFF"/>
        </w:rPr>
      </w:pPr>
      <w:r w:rsidRPr="00961BA6">
        <w:rPr>
          <w:b/>
          <w:bCs/>
          <w:sz w:val="28"/>
          <w:szCs w:val="28"/>
          <w:shd w:val="clear" w:color="auto" w:fill="FFFFFF"/>
        </w:rPr>
        <w:t>Качество обеспечения</w:t>
      </w:r>
      <w:r w:rsidRPr="00961BA6">
        <w:rPr>
          <w:sz w:val="28"/>
          <w:szCs w:val="28"/>
          <w:shd w:val="clear" w:color="auto" w:fill="FFFFFF"/>
        </w:rPr>
        <w:t xml:space="preserve"> – соответствие его требованиям, установленным для конкретного вида обеспечения в отношении устойчивости финансового состояния лица, предоставившего обеспечение, условий поручительства/гарантии (</w:t>
      </w:r>
      <w:proofErr w:type="spellStart"/>
      <w:r w:rsidRPr="00961BA6">
        <w:rPr>
          <w:sz w:val="28"/>
          <w:szCs w:val="28"/>
          <w:shd w:val="clear" w:color="auto" w:fill="FFFFFF"/>
        </w:rPr>
        <w:t>безотзывность</w:t>
      </w:r>
      <w:proofErr w:type="spellEnd"/>
      <w:r w:rsidRPr="00961BA6">
        <w:rPr>
          <w:sz w:val="28"/>
          <w:szCs w:val="28"/>
          <w:shd w:val="clear" w:color="auto" w:fill="FFFFFF"/>
        </w:rPr>
        <w:t xml:space="preserve">, солидарность, срок и иные </w:t>
      </w:r>
      <w:r w:rsidRPr="00961BA6">
        <w:rPr>
          <w:sz w:val="28"/>
          <w:szCs w:val="28"/>
          <w:shd w:val="clear" w:color="auto" w:fill="FFFFFF"/>
        </w:rPr>
        <w:lastRenderedPageBreak/>
        <w:t xml:space="preserve">существенные условия), наличия обременений и прав третьих лиц в отношении имущества, предоставленного в обеспечение, ликвидность.  </w:t>
      </w:r>
    </w:p>
    <w:p w14:paraId="7A63BFA1" w14:textId="15AE9C94" w:rsidR="00042353" w:rsidRPr="00961BA6" w:rsidRDefault="001916B1" w:rsidP="002B6702">
      <w:pPr>
        <w:pStyle w:val="20"/>
        <w:numPr>
          <w:ilvl w:val="0"/>
          <w:numId w:val="0"/>
        </w:numPr>
        <w:ind w:firstLine="709"/>
        <w:rPr>
          <w:b/>
          <w:bCs/>
          <w:sz w:val="28"/>
          <w:szCs w:val="28"/>
        </w:rPr>
      </w:pPr>
      <w:r w:rsidRPr="00961BA6">
        <w:rPr>
          <w:b/>
          <w:bCs/>
          <w:sz w:val="28"/>
          <w:szCs w:val="28"/>
        </w:rPr>
        <w:t xml:space="preserve">Независимая гарантия (гарантия) </w:t>
      </w:r>
      <w:r w:rsidR="00F05BDC" w:rsidRPr="00961BA6">
        <w:rPr>
          <w:b/>
          <w:bCs/>
          <w:sz w:val="28"/>
          <w:szCs w:val="28"/>
        </w:rPr>
        <w:t xml:space="preserve">– </w:t>
      </w:r>
      <w:r w:rsidRPr="00961BA6">
        <w:rPr>
          <w:bCs/>
          <w:sz w:val="28"/>
          <w:szCs w:val="28"/>
        </w:rPr>
        <w:t xml:space="preserve">обязательство уплатить </w:t>
      </w:r>
      <w:r w:rsidR="00915DA7" w:rsidRPr="00961BA6">
        <w:rPr>
          <w:bCs/>
          <w:sz w:val="28"/>
          <w:szCs w:val="28"/>
        </w:rPr>
        <w:t>Фонду/</w:t>
      </w:r>
      <w:r w:rsidRPr="00961BA6">
        <w:rPr>
          <w:bCs/>
          <w:sz w:val="28"/>
          <w:szCs w:val="28"/>
        </w:rPr>
        <w:t xml:space="preserve">Фонду </w:t>
      </w:r>
      <w:r w:rsidR="00450A9D" w:rsidRPr="00961BA6">
        <w:rPr>
          <w:bCs/>
          <w:sz w:val="28"/>
          <w:szCs w:val="28"/>
        </w:rPr>
        <w:t xml:space="preserve">ВО </w:t>
      </w:r>
      <w:r w:rsidRPr="00961BA6">
        <w:rPr>
          <w:bCs/>
          <w:sz w:val="28"/>
          <w:szCs w:val="28"/>
        </w:rPr>
        <w:t>(бенефициар</w:t>
      </w:r>
      <w:r w:rsidR="00F05BDC" w:rsidRPr="00961BA6">
        <w:rPr>
          <w:bCs/>
          <w:sz w:val="28"/>
          <w:szCs w:val="28"/>
        </w:rPr>
        <w:t>ам</w:t>
      </w:r>
      <w:r w:rsidRPr="00961BA6">
        <w:rPr>
          <w:bCs/>
          <w:sz w:val="28"/>
          <w:szCs w:val="28"/>
        </w:rPr>
        <w:t>)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w:t>
      </w:r>
    </w:p>
    <w:p w14:paraId="5FBB6B00" w14:textId="77777777" w:rsidR="00BE5514" w:rsidRPr="00961BA6" w:rsidRDefault="001916B1" w:rsidP="0005268A">
      <w:pPr>
        <w:pStyle w:val="20"/>
        <w:numPr>
          <w:ilvl w:val="0"/>
          <w:numId w:val="0"/>
        </w:numPr>
        <w:ind w:firstLine="709"/>
        <w:rPr>
          <w:b/>
          <w:sz w:val="28"/>
          <w:szCs w:val="28"/>
          <w:shd w:val="clear" w:color="auto" w:fill="FFFFFF"/>
        </w:rPr>
      </w:pPr>
      <w:r w:rsidRPr="00961BA6">
        <w:rPr>
          <w:b/>
          <w:sz w:val="28"/>
          <w:szCs w:val="28"/>
          <w:shd w:val="clear" w:color="auto" w:fill="FFFFFF"/>
        </w:rPr>
        <w:t xml:space="preserve">Обеспечение – </w:t>
      </w:r>
      <w:r w:rsidRPr="00961BA6">
        <w:rPr>
          <w:sz w:val="28"/>
          <w:szCs w:val="28"/>
          <w:shd w:val="clear" w:color="auto" w:fill="FFFFFF"/>
        </w:rPr>
        <w:t xml:space="preserve">установленные законодательством способы обеспечения исполнения обязательств Заемщика по договору займа, предоставленного </w:t>
      </w:r>
      <w:r w:rsidR="00450A9D" w:rsidRPr="00961BA6">
        <w:rPr>
          <w:sz w:val="28"/>
          <w:szCs w:val="28"/>
          <w:shd w:val="clear" w:color="auto" w:fill="FFFFFF"/>
        </w:rPr>
        <w:t xml:space="preserve">Фондами </w:t>
      </w:r>
      <w:r w:rsidRPr="00961BA6">
        <w:rPr>
          <w:sz w:val="28"/>
          <w:szCs w:val="28"/>
          <w:shd w:val="clear" w:color="auto" w:fill="FFFFFF"/>
        </w:rPr>
        <w:t>в качестве финансирования проектов, и предусмотренные соответствующим договором с Заемщиком, включая залог, поручительство, независимую гарантию и другие виды.</w:t>
      </w:r>
    </w:p>
    <w:p w14:paraId="3404C9A0" w14:textId="77777777" w:rsidR="00EE55FE" w:rsidRPr="00961BA6" w:rsidRDefault="001916B1" w:rsidP="00EE55FE">
      <w:pPr>
        <w:pStyle w:val="20"/>
        <w:numPr>
          <w:ilvl w:val="0"/>
          <w:numId w:val="0"/>
        </w:numPr>
        <w:ind w:firstLine="709"/>
        <w:rPr>
          <w:sz w:val="28"/>
          <w:szCs w:val="28"/>
          <w:shd w:val="clear" w:color="auto" w:fill="FFFFFF"/>
        </w:rPr>
      </w:pPr>
      <w:r w:rsidRPr="00961BA6">
        <w:rPr>
          <w:b/>
          <w:sz w:val="28"/>
          <w:szCs w:val="28"/>
          <w:shd w:val="clear" w:color="auto" w:fill="FFFFFF"/>
        </w:rPr>
        <w:t xml:space="preserve">Поручитель </w:t>
      </w:r>
      <w:r w:rsidRPr="00961BA6">
        <w:rPr>
          <w:sz w:val="28"/>
          <w:szCs w:val="28"/>
          <w:shd w:val="clear" w:color="auto" w:fill="FFFFFF"/>
        </w:rPr>
        <w:t xml:space="preserve">– физическое или юридическое лицо, обязавшееся перед </w:t>
      </w:r>
      <w:r w:rsidR="00A36B4A" w:rsidRPr="00961BA6">
        <w:rPr>
          <w:sz w:val="28"/>
          <w:szCs w:val="28"/>
          <w:shd w:val="clear" w:color="auto" w:fill="FFFFFF"/>
        </w:rPr>
        <w:t>Фондами</w:t>
      </w:r>
      <w:r w:rsidR="00450A9D" w:rsidRPr="00961BA6">
        <w:rPr>
          <w:sz w:val="28"/>
          <w:szCs w:val="28"/>
          <w:shd w:val="clear" w:color="auto" w:fill="FFFFFF"/>
        </w:rPr>
        <w:t xml:space="preserve"> </w:t>
      </w:r>
      <w:r w:rsidRPr="00961BA6">
        <w:rPr>
          <w:sz w:val="28"/>
          <w:szCs w:val="28"/>
          <w:shd w:val="clear" w:color="auto" w:fill="FFFFFF"/>
        </w:rPr>
        <w:t>отвечать за исполнение Заемщиком его обязательств полностью или в части по договору займа.</w:t>
      </w:r>
    </w:p>
    <w:p w14:paraId="36B7C4CF" w14:textId="77777777" w:rsidR="00EE55FE" w:rsidRPr="00961BA6" w:rsidRDefault="00EE55FE" w:rsidP="00EE55FE">
      <w:pPr>
        <w:pStyle w:val="20"/>
        <w:numPr>
          <w:ilvl w:val="0"/>
          <w:numId w:val="0"/>
        </w:numPr>
        <w:ind w:firstLine="709"/>
        <w:rPr>
          <w:bCs/>
          <w:sz w:val="28"/>
          <w:szCs w:val="28"/>
        </w:rPr>
      </w:pPr>
      <w:r w:rsidRPr="00961BA6">
        <w:rPr>
          <w:b/>
          <w:bCs/>
          <w:sz w:val="28"/>
          <w:szCs w:val="28"/>
        </w:rPr>
        <w:t xml:space="preserve">Сайт Фонда – </w:t>
      </w:r>
      <w:hyperlink r:id="rId11" w:history="1">
        <w:r w:rsidR="001916B1" w:rsidRPr="00961BA6">
          <w:rPr>
            <w:rStyle w:val="af3"/>
            <w:bCs/>
            <w:sz w:val="28"/>
            <w:szCs w:val="28"/>
          </w:rPr>
          <w:t>www.frprf.ru</w:t>
        </w:r>
      </w:hyperlink>
    </w:p>
    <w:p w14:paraId="43061031" w14:textId="03B7B718" w:rsidR="00EE55FE" w:rsidRPr="00961BA6" w:rsidRDefault="001916B1" w:rsidP="00EE55FE">
      <w:pPr>
        <w:pStyle w:val="20"/>
        <w:numPr>
          <w:ilvl w:val="0"/>
          <w:numId w:val="0"/>
        </w:numPr>
        <w:ind w:firstLine="709"/>
        <w:rPr>
          <w:sz w:val="28"/>
          <w:szCs w:val="28"/>
          <w:shd w:val="clear" w:color="auto" w:fill="FFFFFF"/>
        </w:rPr>
      </w:pPr>
      <w:r w:rsidRPr="00961BA6">
        <w:rPr>
          <w:b/>
          <w:bCs/>
          <w:sz w:val="28"/>
          <w:szCs w:val="28"/>
        </w:rPr>
        <w:t xml:space="preserve">Сайт Фонда ВО – </w:t>
      </w:r>
      <w:hyperlink r:id="rId12" w:history="1">
        <w:r w:rsidR="002247C5" w:rsidRPr="00961BA6">
          <w:rPr>
            <w:rStyle w:val="af3"/>
            <w:bCs/>
            <w:sz w:val="28"/>
            <w:szCs w:val="28"/>
            <w:lang w:val="en-US"/>
          </w:rPr>
          <w:t>www</w:t>
        </w:r>
        <w:r w:rsidR="002247C5" w:rsidRPr="00961BA6">
          <w:rPr>
            <w:rStyle w:val="af3"/>
            <w:bCs/>
            <w:sz w:val="28"/>
            <w:szCs w:val="28"/>
          </w:rPr>
          <w:t>.</w:t>
        </w:r>
        <w:r w:rsidR="002247C5" w:rsidRPr="00961BA6">
          <w:rPr>
            <w:rStyle w:val="af3"/>
            <w:bCs/>
            <w:sz w:val="28"/>
            <w:szCs w:val="28"/>
            <w:lang w:val="en-US"/>
          </w:rPr>
          <w:t>rfrp</w:t>
        </w:r>
        <w:r w:rsidR="002247C5" w:rsidRPr="00961BA6">
          <w:rPr>
            <w:rStyle w:val="af3"/>
            <w:bCs/>
            <w:sz w:val="28"/>
            <w:szCs w:val="28"/>
          </w:rPr>
          <w:t>36.</w:t>
        </w:r>
        <w:r w:rsidR="002247C5" w:rsidRPr="00961BA6">
          <w:rPr>
            <w:rStyle w:val="af3"/>
            <w:bCs/>
            <w:sz w:val="28"/>
            <w:szCs w:val="28"/>
            <w:lang w:val="en-US"/>
          </w:rPr>
          <w:t>ru</w:t>
        </w:r>
      </w:hyperlink>
    </w:p>
    <w:p w14:paraId="5AA7FD38" w14:textId="77777777" w:rsidR="0078780E" w:rsidRPr="00961BA6" w:rsidRDefault="001916B1" w:rsidP="0078780E">
      <w:pPr>
        <w:pStyle w:val="20"/>
        <w:numPr>
          <w:ilvl w:val="0"/>
          <w:numId w:val="0"/>
        </w:numPr>
        <w:ind w:firstLine="709"/>
        <w:rPr>
          <w:bCs/>
          <w:sz w:val="28"/>
          <w:szCs w:val="28"/>
        </w:rPr>
      </w:pPr>
      <w:r w:rsidRPr="00961BA6">
        <w:rPr>
          <w:b/>
          <w:bCs/>
          <w:sz w:val="28"/>
          <w:szCs w:val="28"/>
        </w:rPr>
        <w:t xml:space="preserve">Стандарт Фонда № СФ-И-100/1 </w:t>
      </w:r>
      <w:r w:rsidRPr="00961BA6">
        <w:rPr>
          <w:bCs/>
          <w:sz w:val="28"/>
          <w:szCs w:val="28"/>
        </w:rPr>
        <w:t xml:space="preserve">– Стандарт Фонда </w:t>
      </w:r>
      <w:r w:rsidR="00CE6D06" w:rsidRPr="00961BA6">
        <w:rPr>
          <w:bCs/>
          <w:sz w:val="28"/>
          <w:szCs w:val="28"/>
        </w:rPr>
        <w:t>«</w:t>
      </w:r>
      <w:r w:rsidRPr="00961BA6">
        <w:rPr>
          <w:bCs/>
          <w:sz w:val="28"/>
          <w:szCs w:val="28"/>
        </w:rPr>
        <w:t>Порядок осуществления мониторинга за возвратностью предоставленных денежных средств</w:t>
      </w:r>
      <w:r w:rsidR="00CE6D06" w:rsidRPr="00961BA6">
        <w:rPr>
          <w:bCs/>
          <w:sz w:val="28"/>
          <w:szCs w:val="28"/>
        </w:rPr>
        <w:t>»</w:t>
      </w:r>
      <w:r w:rsidRPr="00961BA6">
        <w:rPr>
          <w:bCs/>
          <w:sz w:val="28"/>
          <w:szCs w:val="28"/>
        </w:rPr>
        <w:t>, часть 1 Порядок работы по мониторингу займов и контролю реализации проектов.</w:t>
      </w:r>
    </w:p>
    <w:p w14:paraId="79AA29E1" w14:textId="77777777" w:rsidR="00292248" w:rsidRPr="00961BA6" w:rsidRDefault="001916B1" w:rsidP="0078780E">
      <w:pPr>
        <w:pStyle w:val="20"/>
        <w:numPr>
          <w:ilvl w:val="0"/>
          <w:numId w:val="0"/>
        </w:numPr>
        <w:ind w:firstLine="709"/>
        <w:rPr>
          <w:bCs/>
          <w:sz w:val="28"/>
          <w:szCs w:val="28"/>
        </w:rPr>
      </w:pPr>
      <w:r w:rsidRPr="00961BA6">
        <w:rPr>
          <w:b/>
          <w:sz w:val="28"/>
          <w:szCs w:val="28"/>
        </w:rPr>
        <w:t>Стандарт Фонда ВО № СФ-04</w:t>
      </w:r>
      <w:r w:rsidRPr="00961BA6">
        <w:rPr>
          <w:sz w:val="28"/>
          <w:szCs w:val="28"/>
        </w:rPr>
        <w:t xml:space="preserve"> – Стандарт Фонда ВО </w:t>
      </w:r>
      <w:r w:rsidR="00CE6D06" w:rsidRPr="00961BA6">
        <w:rPr>
          <w:sz w:val="28"/>
          <w:szCs w:val="28"/>
        </w:rPr>
        <w:t>«</w:t>
      </w:r>
      <w:r w:rsidRPr="00961BA6">
        <w:rPr>
          <w:sz w:val="28"/>
          <w:szCs w:val="28"/>
        </w:rPr>
        <w:t>Порядок осуществления мониторинга за возвратностью предоставленных денежных средств</w:t>
      </w:r>
      <w:r w:rsidR="00CE6D06" w:rsidRPr="00961BA6">
        <w:rPr>
          <w:sz w:val="28"/>
          <w:szCs w:val="28"/>
        </w:rPr>
        <w:t>»</w:t>
      </w:r>
      <w:r w:rsidRPr="00961BA6">
        <w:rPr>
          <w:sz w:val="28"/>
          <w:szCs w:val="28"/>
        </w:rPr>
        <w:t>.</w:t>
      </w:r>
    </w:p>
    <w:p w14:paraId="10158318" w14:textId="77777777" w:rsidR="0078780E" w:rsidRPr="00961BA6" w:rsidRDefault="0078780E" w:rsidP="0078780E">
      <w:pPr>
        <w:pStyle w:val="20"/>
        <w:numPr>
          <w:ilvl w:val="0"/>
          <w:numId w:val="0"/>
        </w:numPr>
        <w:ind w:firstLine="709"/>
        <w:rPr>
          <w:bCs/>
          <w:sz w:val="28"/>
          <w:szCs w:val="28"/>
        </w:rPr>
      </w:pPr>
      <w:r w:rsidRPr="00961BA6">
        <w:rPr>
          <w:b/>
          <w:bCs/>
          <w:sz w:val="28"/>
          <w:szCs w:val="28"/>
        </w:rPr>
        <w:t xml:space="preserve">Фонд – </w:t>
      </w:r>
      <w:r w:rsidR="001916B1" w:rsidRPr="00961BA6">
        <w:rPr>
          <w:bCs/>
          <w:sz w:val="28"/>
          <w:szCs w:val="28"/>
        </w:rPr>
        <w:t xml:space="preserve">Федеральное государственное автономное учреждение </w:t>
      </w:r>
      <w:r w:rsidR="00CE6D06" w:rsidRPr="00961BA6">
        <w:rPr>
          <w:bCs/>
          <w:sz w:val="28"/>
          <w:szCs w:val="28"/>
        </w:rPr>
        <w:t>«</w:t>
      </w:r>
      <w:r w:rsidR="001916B1" w:rsidRPr="00961BA6">
        <w:rPr>
          <w:bCs/>
          <w:sz w:val="28"/>
          <w:szCs w:val="28"/>
        </w:rPr>
        <w:t>Российский фонд технологического развития</w:t>
      </w:r>
      <w:r w:rsidR="00CE6D06" w:rsidRPr="00961BA6">
        <w:rPr>
          <w:bCs/>
          <w:sz w:val="28"/>
          <w:szCs w:val="28"/>
        </w:rPr>
        <w:t>»</w:t>
      </w:r>
      <w:r w:rsidR="001916B1" w:rsidRPr="00961BA6">
        <w:rPr>
          <w:bCs/>
          <w:sz w:val="28"/>
          <w:szCs w:val="28"/>
        </w:rPr>
        <w:t xml:space="preserve"> (Фонд развития промышленности).</w:t>
      </w:r>
    </w:p>
    <w:p w14:paraId="2452E7FE" w14:textId="77777777" w:rsidR="0078780E" w:rsidRPr="00961BA6" w:rsidRDefault="001916B1" w:rsidP="0078780E">
      <w:pPr>
        <w:pStyle w:val="20"/>
        <w:numPr>
          <w:ilvl w:val="0"/>
          <w:numId w:val="0"/>
        </w:numPr>
        <w:ind w:firstLine="709"/>
        <w:rPr>
          <w:b/>
          <w:bCs/>
          <w:sz w:val="28"/>
          <w:szCs w:val="28"/>
        </w:rPr>
      </w:pPr>
      <w:r w:rsidRPr="00961BA6">
        <w:rPr>
          <w:b/>
          <w:bCs/>
          <w:sz w:val="28"/>
          <w:szCs w:val="28"/>
        </w:rPr>
        <w:t xml:space="preserve">Фонд ВО – </w:t>
      </w:r>
      <w:r w:rsidRPr="00961BA6">
        <w:rPr>
          <w:bCs/>
          <w:sz w:val="28"/>
          <w:szCs w:val="28"/>
        </w:rPr>
        <w:t xml:space="preserve">Автономное учреждение </w:t>
      </w:r>
      <w:r w:rsidR="00CE6D06" w:rsidRPr="00961BA6">
        <w:rPr>
          <w:bCs/>
          <w:sz w:val="28"/>
          <w:szCs w:val="28"/>
        </w:rPr>
        <w:t>«</w:t>
      </w:r>
      <w:r w:rsidRPr="00961BA6">
        <w:rPr>
          <w:bCs/>
          <w:sz w:val="28"/>
          <w:szCs w:val="28"/>
        </w:rPr>
        <w:t>Региональный фонд развития промышленности Воронежской области</w:t>
      </w:r>
      <w:r w:rsidR="00CE6D06" w:rsidRPr="00961BA6">
        <w:rPr>
          <w:bCs/>
          <w:sz w:val="28"/>
          <w:szCs w:val="28"/>
        </w:rPr>
        <w:t>»</w:t>
      </w:r>
      <w:r w:rsidRPr="00961BA6">
        <w:rPr>
          <w:bCs/>
          <w:sz w:val="28"/>
          <w:szCs w:val="28"/>
        </w:rPr>
        <w:t>.</w:t>
      </w:r>
    </w:p>
    <w:p w14:paraId="1B9ABE90" w14:textId="77777777" w:rsidR="00863815" w:rsidRPr="00961BA6" w:rsidRDefault="001916B1" w:rsidP="0005268A">
      <w:pPr>
        <w:pStyle w:val="20"/>
        <w:numPr>
          <w:ilvl w:val="0"/>
          <w:numId w:val="0"/>
        </w:numPr>
        <w:ind w:firstLine="709"/>
        <w:rPr>
          <w:bCs/>
          <w:sz w:val="28"/>
          <w:szCs w:val="28"/>
        </w:rPr>
      </w:pPr>
      <w:r w:rsidRPr="00961BA6">
        <w:rPr>
          <w:bCs/>
          <w:sz w:val="28"/>
          <w:szCs w:val="28"/>
        </w:rPr>
        <w:t>Все иные термины используются в</w:t>
      </w:r>
      <w:r w:rsidR="001B1B49" w:rsidRPr="00961BA6">
        <w:rPr>
          <w:bCs/>
          <w:sz w:val="28"/>
          <w:szCs w:val="28"/>
        </w:rPr>
        <w:t xml:space="preserve"> </w:t>
      </w:r>
      <w:r w:rsidRPr="00961BA6">
        <w:rPr>
          <w:bCs/>
          <w:sz w:val="28"/>
          <w:szCs w:val="28"/>
        </w:rPr>
        <w:t>настоящем стандарте в значениях, опреде</w:t>
      </w:r>
      <w:r w:rsidR="00672E61" w:rsidRPr="00961BA6">
        <w:rPr>
          <w:bCs/>
          <w:sz w:val="28"/>
          <w:szCs w:val="28"/>
        </w:rPr>
        <w:t>ленных в других стандартах Фондов</w:t>
      </w:r>
      <w:r w:rsidRPr="00961BA6">
        <w:rPr>
          <w:bCs/>
          <w:sz w:val="28"/>
          <w:szCs w:val="28"/>
        </w:rPr>
        <w:t>.</w:t>
      </w:r>
    </w:p>
    <w:p w14:paraId="1A8D5223" w14:textId="01385C58" w:rsidR="00734492" w:rsidRPr="00961BA6" w:rsidRDefault="001916B1" w:rsidP="00932E63">
      <w:pPr>
        <w:pStyle w:val="1"/>
        <w:numPr>
          <w:ilvl w:val="0"/>
          <w:numId w:val="6"/>
        </w:numPr>
        <w:tabs>
          <w:tab w:val="left" w:pos="426"/>
        </w:tabs>
        <w:spacing w:after="360"/>
        <w:ind w:left="499" w:firstLine="210"/>
        <w:rPr>
          <w:szCs w:val="28"/>
        </w:rPr>
      </w:pPr>
      <w:bookmarkStart w:id="4" w:name="_Toc61340741"/>
      <w:r w:rsidRPr="00961BA6">
        <w:rPr>
          <w:szCs w:val="28"/>
        </w:rPr>
        <w:t xml:space="preserve">Виды используемого </w:t>
      </w:r>
      <w:r w:rsidR="00451AAE" w:rsidRPr="00961BA6">
        <w:rPr>
          <w:szCs w:val="28"/>
        </w:rPr>
        <w:t>Ф</w:t>
      </w:r>
      <w:r w:rsidRPr="00961BA6">
        <w:rPr>
          <w:szCs w:val="28"/>
        </w:rPr>
        <w:t>онд</w:t>
      </w:r>
      <w:r w:rsidR="006F6D94" w:rsidRPr="00961BA6">
        <w:rPr>
          <w:szCs w:val="28"/>
        </w:rPr>
        <w:t>ами</w:t>
      </w:r>
      <w:r w:rsidRPr="00961BA6">
        <w:rPr>
          <w:szCs w:val="28"/>
        </w:rPr>
        <w:t xml:space="preserve"> обеспечения</w:t>
      </w:r>
      <w:bookmarkEnd w:id="4"/>
    </w:p>
    <w:p w14:paraId="3A94C88E" w14:textId="4E6BBEC3" w:rsidR="00DE5514" w:rsidRPr="00961BA6" w:rsidRDefault="00276E0A" w:rsidP="00DE5514">
      <w:pPr>
        <w:pStyle w:val="20"/>
        <w:tabs>
          <w:tab w:val="left" w:pos="1134"/>
        </w:tabs>
        <w:spacing w:before="0" w:after="120"/>
        <w:ind w:left="0" w:firstLine="709"/>
        <w:rPr>
          <w:sz w:val="28"/>
          <w:szCs w:val="28"/>
        </w:rPr>
      </w:pPr>
      <w:r w:rsidRPr="00961BA6">
        <w:rPr>
          <w:sz w:val="28"/>
          <w:szCs w:val="28"/>
        </w:rPr>
        <w:t xml:space="preserve"> </w:t>
      </w:r>
      <w:r w:rsidR="001916B1" w:rsidRPr="00961BA6">
        <w:rPr>
          <w:sz w:val="28"/>
          <w:szCs w:val="28"/>
        </w:rPr>
        <w:t>Обеспечение, принимаемое Фондами по финансируемым проектам, оценивается на предмет достаточности и качества.</w:t>
      </w:r>
    </w:p>
    <w:p w14:paraId="78DEC021" w14:textId="121ED3BC" w:rsidR="00DE5514" w:rsidRPr="00961BA6" w:rsidRDefault="000D47F2" w:rsidP="00DE5514">
      <w:pPr>
        <w:pStyle w:val="20"/>
        <w:tabs>
          <w:tab w:val="left" w:pos="1134"/>
        </w:tabs>
        <w:spacing w:before="0" w:after="120"/>
        <w:ind w:left="0" w:firstLine="709"/>
        <w:rPr>
          <w:sz w:val="28"/>
          <w:szCs w:val="28"/>
        </w:rPr>
      </w:pPr>
      <w:r w:rsidRPr="00961BA6">
        <w:rPr>
          <w:sz w:val="28"/>
          <w:szCs w:val="28"/>
        </w:rPr>
        <w:t xml:space="preserve"> </w:t>
      </w:r>
      <w:r w:rsidR="001916B1" w:rsidRPr="00961BA6">
        <w:rPr>
          <w:sz w:val="28"/>
          <w:szCs w:val="28"/>
        </w:rPr>
        <w:t>При оценке качества Обеспечения учитываются ликвидность обеспечения</w:t>
      </w:r>
      <w:r w:rsidR="001916B1" w:rsidRPr="00961BA6">
        <w:rPr>
          <w:rStyle w:val="a8"/>
          <w:sz w:val="28"/>
          <w:szCs w:val="28"/>
        </w:rPr>
        <w:footnoteReference w:id="2"/>
      </w:r>
      <w:r w:rsidR="001916B1" w:rsidRPr="00961BA6">
        <w:rPr>
          <w:sz w:val="28"/>
          <w:szCs w:val="28"/>
        </w:rPr>
        <w:t xml:space="preserve">, отсутствие/наличие обременений, состояние активов, их </w:t>
      </w:r>
      <w:r w:rsidR="001916B1" w:rsidRPr="00961BA6">
        <w:rPr>
          <w:sz w:val="28"/>
          <w:szCs w:val="28"/>
        </w:rPr>
        <w:lastRenderedPageBreak/>
        <w:t>сохранность, значимость активов для бизнеса Заемщика/Залогодателя, возможность контроля за залогом со стороны Фонд</w:t>
      </w:r>
      <w:r w:rsidR="00611EFE" w:rsidRPr="00961BA6">
        <w:rPr>
          <w:sz w:val="28"/>
          <w:szCs w:val="28"/>
        </w:rPr>
        <w:t>ов</w:t>
      </w:r>
      <w:r w:rsidR="001916B1" w:rsidRPr="00961BA6">
        <w:rPr>
          <w:sz w:val="28"/>
          <w:szCs w:val="28"/>
        </w:rPr>
        <w:t>.</w:t>
      </w:r>
    </w:p>
    <w:p w14:paraId="147DBC4F" w14:textId="1FB4547D" w:rsidR="00CE6302" w:rsidRPr="00961BA6" w:rsidRDefault="000D47F2" w:rsidP="00C24F9A">
      <w:pPr>
        <w:pStyle w:val="20"/>
        <w:tabs>
          <w:tab w:val="left" w:pos="1134"/>
        </w:tabs>
        <w:spacing w:before="0" w:after="120"/>
        <w:ind w:left="0" w:firstLine="709"/>
        <w:rPr>
          <w:sz w:val="28"/>
          <w:szCs w:val="28"/>
        </w:rPr>
      </w:pPr>
      <w:r w:rsidRPr="00961BA6">
        <w:rPr>
          <w:sz w:val="28"/>
          <w:szCs w:val="28"/>
        </w:rPr>
        <w:t xml:space="preserve"> </w:t>
      </w:r>
      <w:r w:rsidR="001916B1" w:rsidRPr="00961BA6">
        <w:rPr>
          <w:sz w:val="28"/>
          <w:szCs w:val="28"/>
        </w:rPr>
        <w:t xml:space="preserve">По результатам проведенной оценки качества, обеспечение по финансируемым Фондами проектам относится к </w:t>
      </w:r>
      <w:r w:rsidR="00CE6D06" w:rsidRPr="00961BA6">
        <w:rPr>
          <w:sz w:val="28"/>
          <w:szCs w:val="28"/>
        </w:rPr>
        <w:t>«</w:t>
      </w:r>
      <w:r w:rsidR="001916B1" w:rsidRPr="00961BA6">
        <w:rPr>
          <w:sz w:val="28"/>
          <w:szCs w:val="28"/>
        </w:rPr>
        <w:t>Основному обеспечению</w:t>
      </w:r>
      <w:r w:rsidR="00CE6D06" w:rsidRPr="00961BA6">
        <w:rPr>
          <w:sz w:val="28"/>
          <w:szCs w:val="28"/>
        </w:rPr>
        <w:t>»</w:t>
      </w:r>
      <w:r w:rsidR="001916B1" w:rsidRPr="00961BA6">
        <w:rPr>
          <w:sz w:val="28"/>
          <w:szCs w:val="28"/>
        </w:rPr>
        <w:t xml:space="preserve"> или </w:t>
      </w:r>
      <w:r w:rsidR="00CE6D06" w:rsidRPr="00961BA6">
        <w:rPr>
          <w:sz w:val="28"/>
          <w:szCs w:val="28"/>
        </w:rPr>
        <w:t>«</w:t>
      </w:r>
      <w:r w:rsidR="001916B1" w:rsidRPr="00961BA6">
        <w:rPr>
          <w:sz w:val="28"/>
          <w:szCs w:val="28"/>
        </w:rPr>
        <w:t>Дополнительному обеспечению</w:t>
      </w:r>
      <w:r w:rsidR="00CE6D06" w:rsidRPr="00961BA6">
        <w:rPr>
          <w:sz w:val="28"/>
          <w:szCs w:val="28"/>
        </w:rPr>
        <w:t>»</w:t>
      </w:r>
      <w:r w:rsidR="001916B1" w:rsidRPr="00961BA6">
        <w:rPr>
          <w:sz w:val="28"/>
          <w:szCs w:val="28"/>
        </w:rPr>
        <w:t xml:space="preserve">. </w:t>
      </w:r>
    </w:p>
    <w:p w14:paraId="36ADE22A" w14:textId="562B163C" w:rsidR="00DE464F" w:rsidRPr="00961BA6" w:rsidRDefault="000D47F2" w:rsidP="002B1CA3">
      <w:pPr>
        <w:pStyle w:val="20"/>
        <w:tabs>
          <w:tab w:val="left" w:pos="1134"/>
        </w:tabs>
        <w:spacing w:before="0" w:after="120"/>
        <w:ind w:left="0" w:firstLine="709"/>
        <w:rPr>
          <w:sz w:val="28"/>
          <w:szCs w:val="28"/>
        </w:rPr>
      </w:pPr>
      <w:r w:rsidRPr="00961BA6">
        <w:rPr>
          <w:sz w:val="28"/>
          <w:szCs w:val="28"/>
        </w:rPr>
        <w:t xml:space="preserve"> </w:t>
      </w:r>
      <w:r w:rsidR="001916B1" w:rsidRPr="00961BA6">
        <w:rPr>
          <w:sz w:val="28"/>
          <w:szCs w:val="28"/>
        </w:rPr>
        <w:t>Имущество, принимаемое Фондами по финансируемым проектам в качестве Основного обеспечения – залога, должно относиться к одной из следующих категорий:</w:t>
      </w:r>
    </w:p>
    <w:p w14:paraId="47CA3954" w14:textId="14591943" w:rsidR="00DE464F" w:rsidRPr="00961BA6" w:rsidRDefault="001916B1" w:rsidP="004A4A58">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ликвидным активам:</w:t>
      </w:r>
      <w:r w:rsidR="004A4417" w:rsidRPr="00961BA6">
        <w:rPr>
          <w:rFonts w:ascii="Times New Roman" w:hAnsi="Times New Roman" w:cs="Times New Roman"/>
          <w:sz w:val="28"/>
          <w:szCs w:val="28"/>
        </w:rPr>
        <w:t xml:space="preserve"> </w:t>
      </w:r>
      <w:r w:rsidRPr="00961BA6">
        <w:rPr>
          <w:rFonts w:ascii="Times New Roman" w:hAnsi="Times New Roman" w:cs="Times New Roman"/>
          <w:sz w:val="28"/>
          <w:szCs w:val="28"/>
        </w:rPr>
        <w:t xml:space="preserve">активы, которые </w:t>
      </w:r>
      <w:r w:rsidR="00BD7242" w:rsidRPr="00961BA6">
        <w:rPr>
          <w:rFonts w:ascii="Times New Roman" w:hAnsi="Times New Roman" w:cs="Times New Roman"/>
          <w:sz w:val="28"/>
          <w:szCs w:val="28"/>
        </w:rPr>
        <w:t>могут быть реализованы по рыночной стоимости</w:t>
      </w:r>
      <w:r w:rsidRPr="00961BA6">
        <w:rPr>
          <w:rFonts w:ascii="Times New Roman" w:hAnsi="Times New Roman" w:cs="Times New Roman"/>
          <w:sz w:val="28"/>
          <w:szCs w:val="28"/>
        </w:rPr>
        <w:t xml:space="preserve"> в приемлемые сроки</w:t>
      </w:r>
      <w:r w:rsidR="004A4417" w:rsidRPr="00961BA6">
        <w:rPr>
          <w:rFonts w:ascii="Times New Roman" w:hAnsi="Times New Roman" w:cs="Times New Roman"/>
          <w:sz w:val="28"/>
          <w:szCs w:val="28"/>
        </w:rPr>
        <w:t xml:space="preserve"> </w:t>
      </w:r>
      <w:r w:rsidRPr="00961BA6">
        <w:rPr>
          <w:rFonts w:ascii="Times New Roman" w:hAnsi="Times New Roman" w:cs="Times New Roman"/>
          <w:sz w:val="28"/>
          <w:szCs w:val="28"/>
        </w:rPr>
        <w:t xml:space="preserve">(срок реализации составляет менее 365 дней); </w:t>
      </w:r>
    </w:p>
    <w:p w14:paraId="34061DB7" w14:textId="77777777" w:rsidR="00DE464F" w:rsidRPr="00961BA6" w:rsidRDefault="001916B1" w:rsidP="004A4A58">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значимым</w:t>
      </w:r>
      <w:r w:rsidR="004A4417" w:rsidRPr="00961BA6">
        <w:rPr>
          <w:rFonts w:ascii="Times New Roman" w:hAnsi="Times New Roman" w:cs="Times New Roman"/>
          <w:sz w:val="28"/>
          <w:szCs w:val="28"/>
        </w:rPr>
        <w:t xml:space="preserve"> </w:t>
      </w:r>
      <w:r w:rsidRPr="00961BA6">
        <w:rPr>
          <w:rFonts w:ascii="Times New Roman" w:hAnsi="Times New Roman" w:cs="Times New Roman"/>
          <w:sz w:val="28"/>
          <w:szCs w:val="28"/>
        </w:rPr>
        <w:t>активам: профильные ключевые активы Заемщика/Залогодателя, изъятие которых приведет к прекращению его деятельности или деятельности независимых бизнес-единиц, приносящих доход; профильные не ключевые активы производственного назначения, участвующие в формировании существенной доли в общем объеме получаемого дохода, либо используемые в деятельности, от которой в будущем ожидается получение дохода; непрофильные активы, являющиеся автономными структурными единицами, способными самостоятельно приносить доход; для Залогодателей-физических лиц значимыми могут быть признаны активы в виде жилой недвижимости.</w:t>
      </w:r>
    </w:p>
    <w:p w14:paraId="69AEB2EB" w14:textId="3B0A1A8E" w:rsidR="00DE464F" w:rsidRPr="00961BA6" w:rsidRDefault="001916B1" w:rsidP="001D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Times New Roman" w:hAnsi="Times New Roman" w:cs="Times New Roman"/>
          <w:sz w:val="28"/>
          <w:szCs w:val="28"/>
        </w:rPr>
      </w:pPr>
      <w:r w:rsidRPr="00961BA6">
        <w:rPr>
          <w:rFonts w:ascii="Times New Roman" w:hAnsi="Times New Roman" w:cs="Times New Roman"/>
          <w:sz w:val="28"/>
          <w:szCs w:val="28"/>
        </w:rPr>
        <w:t>В качестве Основного обеспечения могут быть приняты Фондами поручительства и независимые гарантии платежеспособных юридических лиц или кредитных организаций.</w:t>
      </w:r>
    </w:p>
    <w:p w14:paraId="6E12DF79" w14:textId="2DE123F9" w:rsidR="002B1CA3" w:rsidRPr="00961BA6" w:rsidRDefault="001916B1" w:rsidP="006705FB">
      <w:pPr>
        <w:pStyle w:val="20"/>
        <w:numPr>
          <w:ilvl w:val="0"/>
          <w:numId w:val="0"/>
        </w:numPr>
        <w:tabs>
          <w:tab w:val="left" w:pos="851"/>
        </w:tabs>
        <w:spacing w:before="0" w:after="120"/>
        <w:ind w:firstLine="709"/>
        <w:rPr>
          <w:sz w:val="28"/>
          <w:szCs w:val="28"/>
        </w:rPr>
      </w:pPr>
      <w:r w:rsidRPr="00961BA6">
        <w:rPr>
          <w:sz w:val="28"/>
          <w:szCs w:val="28"/>
        </w:rPr>
        <w:t>Виды Основного обеспечения, принимаемого Фондами по финан</w:t>
      </w:r>
      <w:r w:rsidR="00AD6FA1" w:rsidRPr="00961BA6">
        <w:rPr>
          <w:sz w:val="28"/>
          <w:szCs w:val="28"/>
        </w:rPr>
        <w:t>сируемым проектам, приведены в П</w:t>
      </w:r>
      <w:r w:rsidRPr="00961BA6">
        <w:rPr>
          <w:sz w:val="28"/>
          <w:szCs w:val="28"/>
        </w:rPr>
        <w:t>риложении</w:t>
      </w:r>
      <w:r w:rsidR="004A4417" w:rsidRPr="00961BA6">
        <w:rPr>
          <w:sz w:val="28"/>
          <w:szCs w:val="28"/>
        </w:rPr>
        <w:t xml:space="preserve"> </w:t>
      </w:r>
      <w:r w:rsidRPr="00961BA6">
        <w:rPr>
          <w:sz w:val="28"/>
          <w:szCs w:val="28"/>
        </w:rPr>
        <w:t>№ 1, требования к качеству Основного обеспечения (включая критерии оценки устойчивости финансового положения кредитных организаций и юридических лиц, дисконты, применяемые для определения залоговой стоимости Обеспечения по Займу) устанавливаются Наблюдательным советом Фонда</w:t>
      </w:r>
      <w:r w:rsidR="005F5584" w:rsidRPr="00961BA6">
        <w:rPr>
          <w:sz w:val="28"/>
          <w:szCs w:val="28"/>
        </w:rPr>
        <w:t xml:space="preserve"> </w:t>
      </w:r>
      <w:bookmarkStart w:id="5" w:name="_Hlk134623472"/>
      <w:r w:rsidR="005F5584" w:rsidRPr="00961BA6">
        <w:rPr>
          <w:sz w:val="28"/>
          <w:szCs w:val="28"/>
        </w:rPr>
        <w:t xml:space="preserve">и приведены в </w:t>
      </w:r>
      <w:r w:rsidR="00AC75F1" w:rsidRPr="00961BA6">
        <w:rPr>
          <w:sz w:val="28"/>
          <w:szCs w:val="28"/>
        </w:rPr>
        <w:t xml:space="preserve">Стандарте Фонда № СФ-И-82 </w:t>
      </w:r>
      <w:r w:rsidR="00232BE4" w:rsidRPr="00961BA6">
        <w:rPr>
          <w:sz w:val="28"/>
          <w:szCs w:val="28"/>
        </w:rPr>
        <w:t>«</w:t>
      </w:r>
      <w:r w:rsidR="00AC75F1" w:rsidRPr="00961BA6">
        <w:rPr>
          <w:sz w:val="28"/>
          <w:szCs w:val="28"/>
        </w:rPr>
        <w:t>Порядок обеспечения возврата займов, предоставленных в качестве финансового обеспечения проектов».</w:t>
      </w:r>
      <w:bookmarkEnd w:id="5"/>
    </w:p>
    <w:p w14:paraId="651419B2" w14:textId="77777777" w:rsidR="006705FB" w:rsidRPr="00961BA6" w:rsidRDefault="001916B1" w:rsidP="006705FB">
      <w:pPr>
        <w:pStyle w:val="20"/>
        <w:numPr>
          <w:ilvl w:val="0"/>
          <w:numId w:val="0"/>
        </w:numPr>
        <w:tabs>
          <w:tab w:val="left" w:pos="851"/>
        </w:tabs>
        <w:spacing w:before="0" w:after="120"/>
        <w:ind w:firstLine="709"/>
        <w:rPr>
          <w:sz w:val="28"/>
          <w:szCs w:val="28"/>
        </w:rPr>
      </w:pPr>
      <w:r w:rsidRPr="00961BA6">
        <w:rPr>
          <w:sz w:val="28"/>
          <w:szCs w:val="28"/>
        </w:rPr>
        <w:t>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наличие/отсутствие между ними технологических, организационных, экономических, производственных и иных взаимосвязей с точки зрения общего назначения и реализации определенных целей (активы, составляющие имущественные комплексы, а также ключевые активы, составляющие большую часть имущественных комплексов или его автономную часть).</w:t>
      </w:r>
    </w:p>
    <w:p w14:paraId="4F2A9B81" w14:textId="764A569B" w:rsidR="00CE6302" w:rsidRPr="00961BA6" w:rsidRDefault="00134ACB" w:rsidP="006705FB">
      <w:pPr>
        <w:pStyle w:val="20"/>
        <w:tabs>
          <w:tab w:val="left" w:pos="1134"/>
        </w:tabs>
        <w:spacing w:before="0" w:after="120"/>
        <w:ind w:left="0" w:firstLine="709"/>
        <w:rPr>
          <w:sz w:val="28"/>
          <w:szCs w:val="28"/>
        </w:rPr>
      </w:pPr>
      <w:r w:rsidRPr="00961BA6">
        <w:rPr>
          <w:sz w:val="28"/>
          <w:szCs w:val="28"/>
        </w:rPr>
        <w:t xml:space="preserve"> </w:t>
      </w:r>
      <w:r w:rsidR="001916B1" w:rsidRPr="00961BA6">
        <w:rPr>
          <w:sz w:val="28"/>
          <w:szCs w:val="28"/>
        </w:rPr>
        <w:t>Основное обеспечение учитывается при оценке достаточности обе</w:t>
      </w:r>
      <w:r w:rsidR="004A4417" w:rsidRPr="00961BA6">
        <w:rPr>
          <w:sz w:val="28"/>
          <w:szCs w:val="28"/>
        </w:rPr>
        <w:t>спечения по финансируемым Фондами</w:t>
      </w:r>
      <w:r w:rsidR="001916B1" w:rsidRPr="00961BA6">
        <w:rPr>
          <w:sz w:val="28"/>
          <w:szCs w:val="28"/>
        </w:rPr>
        <w:t xml:space="preserve"> проектам. </w:t>
      </w:r>
    </w:p>
    <w:p w14:paraId="309C7589" w14:textId="7F45EC97" w:rsidR="00F46F7C" w:rsidRPr="00961BA6" w:rsidRDefault="005342BA" w:rsidP="00C24F9A">
      <w:pPr>
        <w:pStyle w:val="20"/>
        <w:tabs>
          <w:tab w:val="left" w:pos="1134"/>
        </w:tabs>
        <w:spacing w:before="0" w:after="120"/>
        <w:ind w:left="0" w:firstLine="709"/>
        <w:rPr>
          <w:sz w:val="28"/>
          <w:szCs w:val="28"/>
        </w:rPr>
      </w:pPr>
      <w:r w:rsidRPr="00961BA6">
        <w:rPr>
          <w:sz w:val="28"/>
          <w:szCs w:val="28"/>
        </w:rPr>
        <w:lastRenderedPageBreak/>
        <w:t xml:space="preserve"> </w:t>
      </w:r>
      <w:r w:rsidR="001916B1" w:rsidRPr="00961BA6">
        <w:rPr>
          <w:sz w:val="28"/>
          <w:szCs w:val="28"/>
        </w:rPr>
        <w:t xml:space="preserve">Дополнительное обеспечение используется </w:t>
      </w:r>
      <w:r w:rsidR="004A4417" w:rsidRPr="00961BA6">
        <w:rPr>
          <w:sz w:val="28"/>
          <w:szCs w:val="28"/>
        </w:rPr>
        <w:t>Фондами</w:t>
      </w:r>
      <w:r w:rsidR="001916B1" w:rsidRPr="00961BA6">
        <w:rPr>
          <w:sz w:val="28"/>
          <w:szCs w:val="28"/>
        </w:rPr>
        <w:t xml:space="preserve"> в целях усиления структуры сделки с точки зрения возможности реализации Основного обеспечения, влияния на бизнес Заемщиков/Залогодателей/Поручителей, повышения ответственности и заинтересованности собственников/бенефициарных владельцев в реализации проекта. Виды Дополнительного </w:t>
      </w:r>
      <w:r w:rsidR="004A4417" w:rsidRPr="00961BA6">
        <w:rPr>
          <w:sz w:val="28"/>
          <w:szCs w:val="28"/>
        </w:rPr>
        <w:t>обеспечения, принимаемого Фондами</w:t>
      </w:r>
      <w:r w:rsidR="001916B1" w:rsidRPr="00961BA6">
        <w:rPr>
          <w:sz w:val="28"/>
          <w:szCs w:val="28"/>
        </w:rPr>
        <w:t xml:space="preserve"> по финан</w:t>
      </w:r>
      <w:r w:rsidR="004A4417" w:rsidRPr="00961BA6">
        <w:rPr>
          <w:sz w:val="28"/>
          <w:szCs w:val="28"/>
        </w:rPr>
        <w:t>сируемым проектам, приведены в П</w:t>
      </w:r>
      <w:r w:rsidR="001916B1" w:rsidRPr="00961BA6">
        <w:rPr>
          <w:sz w:val="28"/>
          <w:szCs w:val="28"/>
        </w:rPr>
        <w:t>риложении</w:t>
      </w:r>
      <w:r w:rsidR="00134ACB" w:rsidRPr="00961BA6">
        <w:rPr>
          <w:sz w:val="28"/>
          <w:szCs w:val="28"/>
        </w:rPr>
        <w:t xml:space="preserve"> </w:t>
      </w:r>
      <w:r w:rsidR="001916B1" w:rsidRPr="00961BA6">
        <w:rPr>
          <w:sz w:val="28"/>
          <w:szCs w:val="28"/>
        </w:rPr>
        <w:t>№ 2.</w:t>
      </w:r>
    </w:p>
    <w:p w14:paraId="7D55E228" w14:textId="3452E39A" w:rsidR="000F6312" w:rsidRPr="00961BA6" w:rsidRDefault="007B7B9C" w:rsidP="00C24F9A">
      <w:pPr>
        <w:pStyle w:val="20"/>
        <w:tabs>
          <w:tab w:val="left" w:pos="1134"/>
        </w:tabs>
        <w:spacing w:before="0" w:after="120"/>
        <w:ind w:left="0" w:firstLine="709"/>
        <w:rPr>
          <w:sz w:val="28"/>
          <w:szCs w:val="28"/>
        </w:rPr>
      </w:pPr>
      <w:r w:rsidRPr="00961BA6">
        <w:rPr>
          <w:sz w:val="28"/>
          <w:szCs w:val="28"/>
        </w:rPr>
        <w:t xml:space="preserve"> </w:t>
      </w:r>
      <w:r w:rsidR="001916B1" w:rsidRPr="00961BA6">
        <w:rPr>
          <w:sz w:val="28"/>
          <w:szCs w:val="28"/>
        </w:rPr>
        <w:t>Виды Основного обеспечения могут быть приняты и в качестве Дополнительного обеспечения. Виды Дополнительного обеспечения не подлежат принятию в качестве Основного обеспечения.</w:t>
      </w:r>
    </w:p>
    <w:p w14:paraId="62D20D1E" w14:textId="1B5532BC" w:rsidR="001E232C" w:rsidRPr="00961BA6" w:rsidRDefault="007B7B9C" w:rsidP="007B7B9C">
      <w:pPr>
        <w:pStyle w:val="20"/>
        <w:tabs>
          <w:tab w:val="left" w:pos="1134"/>
          <w:tab w:val="left" w:pos="1418"/>
        </w:tabs>
        <w:spacing w:before="0" w:after="120"/>
        <w:ind w:left="0" w:firstLine="709"/>
        <w:rPr>
          <w:sz w:val="28"/>
          <w:szCs w:val="28"/>
        </w:rPr>
      </w:pPr>
      <w:r w:rsidRPr="00961BA6">
        <w:rPr>
          <w:sz w:val="28"/>
          <w:szCs w:val="28"/>
        </w:rPr>
        <w:t xml:space="preserve"> </w:t>
      </w:r>
      <w:r w:rsidR="001916B1" w:rsidRPr="00961BA6">
        <w:rPr>
          <w:sz w:val="28"/>
          <w:szCs w:val="28"/>
        </w:rPr>
        <w:t>При рассмотрении возможности принятия в качестве Обеспечения имущества учитываются законодательные запреты на совершение сделок залога с отдельными видами имущества.</w:t>
      </w:r>
    </w:p>
    <w:p w14:paraId="2F4E2A04" w14:textId="103B6971" w:rsidR="00DA35D4" w:rsidRPr="00961BA6" w:rsidRDefault="00F64758" w:rsidP="007B7B9C">
      <w:pPr>
        <w:pStyle w:val="20"/>
        <w:tabs>
          <w:tab w:val="left" w:pos="1134"/>
          <w:tab w:val="left" w:pos="1418"/>
        </w:tabs>
        <w:spacing w:before="0" w:after="120"/>
        <w:ind w:left="0" w:firstLine="709"/>
        <w:rPr>
          <w:sz w:val="28"/>
          <w:szCs w:val="28"/>
        </w:rPr>
      </w:pPr>
      <w:r w:rsidRPr="00961BA6">
        <w:rPr>
          <w:sz w:val="28"/>
          <w:szCs w:val="28"/>
        </w:rPr>
        <w:t xml:space="preserve"> </w:t>
      </w:r>
      <w:r w:rsidR="001916B1" w:rsidRPr="00961BA6">
        <w:rPr>
          <w:sz w:val="28"/>
          <w:szCs w:val="28"/>
        </w:rPr>
        <w:t>Виды имущества, не принимаем</w:t>
      </w:r>
      <w:r w:rsidRPr="00961BA6">
        <w:rPr>
          <w:sz w:val="28"/>
          <w:szCs w:val="28"/>
        </w:rPr>
        <w:t>ого</w:t>
      </w:r>
      <w:r w:rsidR="001916B1" w:rsidRPr="00961BA6">
        <w:rPr>
          <w:sz w:val="28"/>
          <w:szCs w:val="28"/>
        </w:rPr>
        <w:t xml:space="preserve"> Фондами в кач</w:t>
      </w:r>
      <w:r w:rsidR="00AD6FA1" w:rsidRPr="00961BA6">
        <w:rPr>
          <w:sz w:val="28"/>
          <w:szCs w:val="28"/>
        </w:rPr>
        <w:t>естве Обеспечения, приведены в П</w:t>
      </w:r>
      <w:r w:rsidR="001916B1" w:rsidRPr="00961BA6">
        <w:rPr>
          <w:sz w:val="28"/>
          <w:szCs w:val="28"/>
        </w:rPr>
        <w:t>риложении №</w:t>
      </w:r>
      <w:r w:rsidRPr="00961BA6">
        <w:rPr>
          <w:sz w:val="28"/>
          <w:szCs w:val="28"/>
        </w:rPr>
        <w:t xml:space="preserve"> </w:t>
      </w:r>
      <w:r w:rsidR="001916B1" w:rsidRPr="00961BA6">
        <w:rPr>
          <w:sz w:val="28"/>
          <w:szCs w:val="28"/>
        </w:rPr>
        <w:t>3.</w:t>
      </w:r>
    </w:p>
    <w:p w14:paraId="64AEA76E" w14:textId="3F87477D" w:rsidR="002360B1" w:rsidRPr="00961BA6" w:rsidRDefault="0038036C" w:rsidP="00102906">
      <w:pPr>
        <w:pStyle w:val="20"/>
        <w:tabs>
          <w:tab w:val="left" w:pos="1276"/>
          <w:tab w:val="left" w:pos="1418"/>
        </w:tabs>
        <w:spacing w:before="0" w:after="120"/>
        <w:ind w:left="0" w:firstLine="709"/>
        <w:rPr>
          <w:sz w:val="28"/>
          <w:szCs w:val="28"/>
        </w:rPr>
      </w:pPr>
      <w:r w:rsidRPr="00961BA6">
        <w:rPr>
          <w:sz w:val="28"/>
          <w:szCs w:val="28"/>
        </w:rPr>
        <w:t xml:space="preserve"> </w:t>
      </w:r>
      <w:r w:rsidR="001916B1" w:rsidRPr="00961BA6">
        <w:rPr>
          <w:sz w:val="28"/>
          <w:szCs w:val="28"/>
        </w:rPr>
        <w:t>Принимаемое в залог имущество не должно находиться под арестом.</w:t>
      </w:r>
    </w:p>
    <w:p w14:paraId="1B5A07D9" w14:textId="440335EA" w:rsidR="002B6702" w:rsidRPr="00961BA6" w:rsidRDefault="00BA4B31" w:rsidP="002B6702">
      <w:pPr>
        <w:pStyle w:val="20"/>
        <w:tabs>
          <w:tab w:val="left" w:pos="1276"/>
          <w:tab w:val="left" w:pos="1418"/>
        </w:tabs>
        <w:ind w:left="0" w:firstLine="709"/>
        <w:rPr>
          <w:sz w:val="28"/>
          <w:szCs w:val="28"/>
        </w:rPr>
      </w:pPr>
      <w:r w:rsidRPr="00961BA6">
        <w:rPr>
          <w:sz w:val="28"/>
          <w:szCs w:val="28"/>
        </w:rPr>
        <w:t xml:space="preserve"> </w:t>
      </w:r>
      <w:r w:rsidR="001916B1" w:rsidRPr="00961BA6">
        <w:rPr>
          <w:sz w:val="28"/>
          <w:szCs w:val="28"/>
        </w:rPr>
        <w:t xml:space="preserve">Последующий залог (имущество, обремененное залогом третьих лиц) допускается в качестве Дополнительного обеспечения. </w:t>
      </w:r>
      <w:r w:rsidR="003E1D5F" w:rsidRPr="00961BA6">
        <w:rPr>
          <w:sz w:val="28"/>
          <w:szCs w:val="28"/>
        </w:rPr>
        <w:t>Фонд</w:t>
      </w:r>
      <w:r w:rsidR="001916B1" w:rsidRPr="00961BA6">
        <w:rPr>
          <w:sz w:val="28"/>
          <w:szCs w:val="28"/>
        </w:rPr>
        <w:t>ы не принимают в последующий залог имущество, находящееся в залоге у третьих лиц,</w:t>
      </w:r>
      <w:r w:rsidR="00AD6FA1" w:rsidRPr="00961BA6">
        <w:rPr>
          <w:sz w:val="28"/>
          <w:szCs w:val="28"/>
        </w:rPr>
        <w:t xml:space="preserve"> </w:t>
      </w:r>
      <w:r w:rsidR="001916B1" w:rsidRPr="00961BA6">
        <w:rPr>
          <w:sz w:val="28"/>
          <w:szCs w:val="28"/>
        </w:rPr>
        <w:t>в качестве Основного обеспечения.</w:t>
      </w:r>
    </w:p>
    <w:p w14:paraId="67EBBDFC" w14:textId="78BA432A" w:rsidR="005433E4" w:rsidRPr="00961BA6" w:rsidRDefault="00E67467" w:rsidP="00F06395">
      <w:pPr>
        <w:pStyle w:val="20"/>
        <w:tabs>
          <w:tab w:val="left" w:pos="1276"/>
          <w:tab w:val="left" w:pos="1418"/>
        </w:tabs>
        <w:ind w:left="0" w:firstLine="709"/>
        <w:rPr>
          <w:sz w:val="28"/>
          <w:szCs w:val="28"/>
        </w:rPr>
      </w:pPr>
      <w:r w:rsidRPr="00961BA6">
        <w:rPr>
          <w:sz w:val="28"/>
          <w:szCs w:val="28"/>
        </w:rPr>
        <w:t xml:space="preserve"> </w:t>
      </w:r>
      <w:r w:rsidR="001916B1" w:rsidRPr="00961BA6">
        <w:rPr>
          <w:sz w:val="28"/>
          <w:szCs w:val="28"/>
        </w:rPr>
        <w:t>Передача в последующий залог имущества, принятого Фондами в качестве Основного обеспечения, допускается только в случае, если последующим залогодержателем выступают институты развития, о</w:t>
      </w:r>
      <w:r w:rsidR="007E5D54" w:rsidRPr="00961BA6">
        <w:rPr>
          <w:sz w:val="28"/>
          <w:szCs w:val="28"/>
        </w:rPr>
        <w:t>существляющие совместно с Фондами</w:t>
      </w:r>
      <w:r w:rsidR="001916B1" w:rsidRPr="00961BA6">
        <w:rPr>
          <w:sz w:val="28"/>
          <w:szCs w:val="28"/>
        </w:rPr>
        <w:t xml:space="preserve"> финансирование проекта и/или</w:t>
      </w:r>
      <w:r w:rsidR="007E5D54" w:rsidRPr="00961BA6">
        <w:rPr>
          <w:sz w:val="28"/>
          <w:szCs w:val="28"/>
        </w:rPr>
        <w:t xml:space="preserve"> </w:t>
      </w:r>
      <w:r w:rsidR="001916B1" w:rsidRPr="00961BA6">
        <w:rPr>
          <w:sz w:val="28"/>
          <w:szCs w:val="28"/>
        </w:rPr>
        <w:t>предоставляющие обеспечение. Перечень таких организаций утверждается Наблюдательным советом Фонда</w:t>
      </w:r>
      <w:r w:rsidRPr="00961BA6">
        <w:rPr>
          <w:sz w:val="28"/>
          <w:szCs w:val="28"/>
        </w:rPr>
        <w:t xml:space="preserve"> и приведен </w:t>
      </w:r>
      <w:r w:rsidR="00232BE4" w:rsidRPr="00961BA6">
        <w:rPr>
          <w:sz w:val="28"/>
          <w:szCs w:val="28"/>
        </w:rPr>
        <w:t>в Стандарте Фонда № СФ-И-82 «Порядок обеспечения возврата займов, предоставленных в качестве финансового обеспечения проектов».</w:t>
      </w:r>
    </w:p>
    <w:p w14:paraId="59E4688D" w14:textId="35852DB5" w:rsidR="006A1721" w:rsidRPr="00961BA6" w:rsidRDefault="005639B7" w:rsidP="00F06395">
      <w:pPr>
        <w:pStyle w:val="20"/>
        <w:tabs>
          <w:tab w:val="left" w:pos="1276"/>
          <w:tab w:val="left" w:pos="1418"/>
        </w:tabs>
        <w:ind w:left="0" w:firstLine="709"/>
        <w:rPr>
          <w:sz w:val="28"/>
          <w:szCs w:val="28"/>
        </w:rPr>
      </w:pPr>
      <w:r w:rsidRPr="00961BA6">
        <w:rPr>
          <w:sz w:val="28"/>
          <w:szCs w:val="28"/>
        </w:rPr>
        <w:t xml:space="preserve"> </w:t>
      </w:r>
      <w:r w:rsidR="001916B1" w:rsidRPr="00961BA6">
        <w:rPr>
          <w:sz w:val="28"/>
          <w:szCs w:val="28"/>
        </w:rPr>
        <w:t>При совместном финансировании проектов Фонды принимают в совместный залог (Основное обеспечение) неделимый предмет залога, достаточный для обеспечения возврата займов каждого из фондов-кредиторов суммарно и отвечающее требованиям стандартов фондов, при этом каждый из них будет иметь равные по старшинству права залогодержателей.</w:t>
      </w:r>
    </w:p>
    <w:p w14:paraId="2A8BDAAA" w14:textId="6090D2F3" w:rsidR="00F61C38" w:rsidRPr="00961BA6" w:rsidRDefault="005639B7" w:rsidP="00F06395">
      <w:pPr>
        <w:pStyle w:val="20"/>
        <w:tabs>
          <w:tab w:val="left" w:pos="1276"/>
          <w:tab w:val="left" w:pos="1418"/>
        </w:tabs>
        <w:ind w:left="0" w:firstLine="709"/>
        <w:rPr>
          <w:sz w:val="28"/>
          <w:szCs w:val="28"/>
        </w:rPr>
      </w:pPr>
      <w:r w:rsidRPr="00961BA6">
        <w:rPr>
          <w:sz w:val="28"/>
          <w:szCs w:val="28"/>
        </w:rPr>
        <w:t xml:space="preserve"> </w:t>
      </w:r>
      <w:r w:rsidR="001916B1" w:rsidRPr="00961BA6">
        <w:rPr>
          <w:sz w:val="28"/>
          <w:szCs w:val="28"/>
        </w:rPr>
        <w:t>На момент выдачи займа (принятия решения о финансировании проекта) обеспечение признается достаточным, если суммарно залоговая стоимость и/или объем гарантированных обязательств по независимой гарантии (поручительству), принимаемых в качестве</w:t>
      </w:r>
      <w:r w:rsidR="001A2B83" w:rsidRPr="00961BA6">
        <w:rPr>
          <w:sz w:val="28"/>
          <w:szCs w:val="28"/>
        </w:rPr>
        <w:t xml:space="preserve"> </w:t>
      </w:r>
      <w:r w:rsidR="001916B1" w:rsidRPr="00961BA6">
        <w:rPr>
          <w:sz w:val="28"/>
          <w:szCs w:val="28"/>
        </w:rPr>
        <w:t>Основного обеспечения, равны или превышают размер основного долга и подлежащих уплате за все время пользования займом процентов</w:t>
      </w:r>
      <w:r w:rsidR="00F63A3B" w:rsidRPr="00961BA6">
        <w:rPr>
          <w:sz w:val="28"/>
          <w:szCs w:val="28"/>
        </w:rPr>
        <w:t xml:space="preserve"> (определяются для каждого проекта в соответствии с базовыми условиями программы финансирования). В рамках отдельных программ финансирования, по решению Наблюдательного совета Фонда, могут быть установлены иные условия по обеспеченности займов.</w:t>
      </w:r>
    </w:p>
    <w:p w14:paraId="525085BF" w14:textId="596A4088" w:rsidR="00CC4CE8" w:rsidRPr="00961BA6" w:rsidRDefault="006C090E" w:rsidP="00DA35D4">
      <w:pPr>
        <w:pStyle w:val="20"/>
        <w:tabs>
          <w:tab w:val="left" w:pos="1276"/>
          <w:tab w:val="left" w:pos="1418"/>
        </w:tabs>
        <w:spacing w:before="0" w:after="120"/>
        <w:ind w:left="0" w:firstLine="709"/>
        <w:rPr>
          <w:sz w:val="28"/>
          <w:szCs w:val="28"/>
        </w:rPr>
      </w:pPr>
      <w:r w:rsidRPr="00961BA6">
        <w:rPr>
          <w:sz w:val="28"/>
          <w:szCs w:val="28"/>
        </w:rPr>
        <w:lastRenderedPageBreak/>
        <w:t xml:space="preserve"> </w:t>
      </w:r>
      <w:r w:rsidR="001916B1" w:rsidRPr="00961BA6">
        <w:rPr>
          <w:sz w:val="28"/>
          <w:szCs w:val="28"/>
        </w:rPr>
        <w:t>Основное обеспечение должно соответствовать требованию достаточности в течение всего срока действия договора Займа и быть равными или превышать размер оставшихся обязательств Заявителя по возврату основного долга и подлежащих уплате за пользование займом процентов.</w:t>
      </w:r>
      <w:r w:rsidR="001A2B83" w:rsidRPr="00961BA6">
        <w:rPr>
          <w:sz w:val="28"/>
          <w:szCs w:val="28"/>
        </w:rPr>
        <w:t xml:space="preserve"> </w:t>
      </w:r>
      <w:r w:rsidR="001916B1" w:rsidRPr="00961BA6">
        <w:rPr>
          <w:sz w:val="28"/>
          <w:szCs w:val="28"/>
        </w:rPr>
        <w:t>При оценке достаточности обеспечения учитывается все принятое Основное обеспечение (суммарная залоговая стоимость и/или объем гарантированных обязательств по независимой гарантии (поручительству)), за исключением утраченного.</w:t>
      </w:r>
      <w:r w:rsidR="00BA4B31" w:rsidRPr="00961BA6">
        <w:rPr>
          <w:sz w:val="28"/>
          <w:szCs w:val="28"/>
        </w:rPr>
        <w:t xml:space="preserve"> </w:t>
      </w:r>
      <w:r w:rsidR="001916B1" w:rsidRPr="00961BA6">
        <w:rPr>
          <w:sz w:val="28"/>
          <w:szCs w:val="28"/>
        </w:rPr>
        <w:t>Залоговая стоимость определяется на основании рыночной</w:t>
      </w:r>
      <w:r w:rsidR="001916B1" w:rsidRPr="00961BA6">
        <w:rPr>
          <w:sz w:val="28"/>
          <w:szCs w:val="28"/>
          <w:u w:val="single"/>
        </w:rPr>
        <w:t xml:space="preserve"> </w:t>
      </w:r>
      <w:r w:rsidR="001916B1" w:rsidRPr="00961BA6">
        <w:rPr>
          <w:sz w:val="28"/>
          <w:szCs w:val="28"/>
        </w:rPr>
        <w:t>стоимости с учетом требований пункта 3.2 настоящего Стандарта с применением шкалы залоговых дисконтов, устанавливаемых Наблюдательным советом Фонда.</w:t>
      </w:r>
    </w:p>
    <w:p w14:paraId="7627CFFE" w14:textId="54E74A49" w:rsidR="00100FF2" w:rsidRPr="00961BA6" w:rsidRDefault="00BA4B31" w:rsidP="00DA35D4">
      <w:pPr>
        <w:pStyle w:val="20"/>
        <w:tabs>
          <w:tab w:val="left" w:pos="1276"/>
          <w:tab w:val="left" w:pos="1418"/>
        </w:tabs>
        <w:spacing w:before="0" w:after="120"/>
        <w:ind w:left="0" w:firstLine="709"/>
        <w:rPr>
          <w:sz w:val="28"/>
          <w:szCs w:val="28"/>
        </w:rPr>
      </w:pPr>
      <w:r w:rsidRPr="00961BA6">
        <w:rPr>
          <w:sz w:val="28"/>
          <w:szCs w:val="28"/>
        </w:rPr>
        <w:t xml:space="preserve"> </w:t>
      </w:r>
      <w:bookmarkStart w:id="6" w:name="_Hlk143867590"/>
      <w:r w:rsidR="0098380D" w:rsidRPr="00961BA6">
        <w:rPr>
          <w:sz w:val="28"/>
          <w:szCs w:val="28"/>
        </w:rPr>
        <w:t>Р</w:t>
      </w:r>
      <w:r w:rsidR="001916B1" w:rsidRPr="00961BA6">
        <w:rPr>
          <w:sz w:val="28"/>
          <w:szCs w:val="28"/>
        </w:rPr>
        <w:t xml:space="preserve">ыночная </w:t>
      </w:r>
      <w:bookmarkEnd w:id="6"/>
      <w:r w:rsidR="001916B1" w:rsidRPr="00961BA6">
        <w:rPr>
          <w:sz w:val="28"/>
          <w:szCs w:val="28"/>
        </w:rPr>
        <w:t>стоимость залога, относящегося к Основному обеспечению, определяется на основании отчетов оценочных компаний (без учета суммы НДС), за исключением драгоценных металлов, а также оборудования, приобретаемого в рамках проекта за счет средств, предоставленных Фондами. Рыночная стоимость, определенная в отчете, принимается Фондами для целей совершения сделки в течение шести месяцев с даты составления отчета.</w:t>
      </w:r>
    </w:p>
    <w:p w14:paraId="70633AC8" w14:textId="3FE4247D" w:rsidR="00260749" w:rsidRPr="00961BA6" w:rsidRDefault="00242944" w:rsidP="00600150">
      <w:pPr>
        <w:pStyle w:val="20"/>
        <w:numPr>
          <w:ilvl w:val="0"/>
          <w:numId w:val="0"/>
        </w:numPr>
        <w:tabs>
          <w:tab w:val="left" w:pos="851"/>
        </w:tabs>
        <w:spacing w:before="0" w:after="120"/>
        <w:ind w:firstLine="709"/>
        <w:rPr>
          <w:sz w:val="28"/>
          <w:szCs w:val="28"/>
        </w:rPr>
      </w:pPr>
      <w:r w:rsidRPr="00961BA6">
        <w:rPr>
          <w:sz w:val="28"/>
          <w:szCs w:val="28"/>
        </w:rPr>
        <w:t xml:space="preserve">Рыночная </w:t>
      </w:r>
      <w:r w:rsidR="001916B1" w:rsidRPr="00961BA6">
        <w:rPr>
          <w:sz w:val="28"/>
          <w:szCs w:val="28"/>
        </w:rPr>
        <w:t>стоимость предлагаемого в залог оборудования, приобретаемого в процессе реализации проекта и оплачиваемого полностью или частично за счет</w:t>
      </w:r>
      <w:r w:rsidR="001A2B83" w:rsidRPr="00961BA6">
        <w:rPr>
          <w:sz w:val="28"/>
          <w:szCs w:val="28"/>
        </w:rPr>
        <w:t xml:space="preserve"> средств, предоставленных Фондами</w:t>
      </w:r>
      <w:r w:rsidR="001916B1" w:rsidRPr="00961BA6">
        <w:rPr>
          <w:sz w:val="28"/>
          <w:szCs w:val="28"/>
        </w:rPr>
        <w:t>, определяется по цене, указанной в договоре на его приобретение (</w:t>
      </w:r>
      <w:r w:rsidRPr="00961BA6">
        <w:rPr>
          <w:sz w:val="28"/>
          <w:szCs w:val="28"/>
        </w:rPr>
        <w:t>без учета</w:t>
      </w:r>
      <w:r w:rsidR="001916B1" w:rsidRPr="00961BA6">
        <w:rPr>
          <w:sz w:val="28"/>
          <w:szCs w:val="28"/>
        </w:rPr>
        <w:t xml:space="preserve"> суммы НДС).</w:t>
      </w:r>
    </w:p>
    <w:p w14:paraId="29D30012" w14:textId="47EAB784" w:rsidR="00163C81" w:rsidRPr="00961BA6" w:rsidRDefault="001916B1" w:rsidP="00600150">
      <w:pPr>
        <w:pStyle w:val="20"/>
        <w:numPr>
          <w:ilvl w:val="0"/>
          <w:numId w:val="0"/>
        </w:numPr>
        <w:tabs>
          <w:tab w:val="left" w:pos="851"/>
        </w:tabs>
        <w:spacing w:before="0" w:after="120"/>
        <w:ind w:firstLine="709"/>
        <w:rPr>
          <w:sz w:val="28"/>
          <w:szCs w:val="28"/>
        </w:rPr>
      </w:pPr>
      <w:r w:rsidRPr="00961BA6">
        <w:rPr>
          <w:sz w:val="28"/>
          <w:szCs w:val="28"/>
        </w:rPr>
        <w:t>Оценка Обеспечения осуществляется за счет Заемщика, за исключением случаев, предусмотренных п. 6.9 настоящего стандарта, а также в случаях, указанных в Стандарте Фонда № СФ-И-100</w:t>
      </w:r>
      <w:r w:rsidR="003202C6" w:rsidRPr="00961BA6">
        <w:rPr>
          <w:sz w:val="28"/>
          <w:szCs w:val="28"/>
        </w:rPr>
        <w:t xml:space="preserve"> «Порядок осуществления мониторинга за возвратностью предоставленных денежных средств» </w:t>
      </w:r>
      <w:r w:rsidRPr="00961BA6">
        <w:rPr>
          <w:sz w:val="28"/>
          <w:szCs w:val="28"/>
        </w:rPr>
        <w:t>и Стандарте Фонда ВО № СФ-04.</w:t>
      </w:r>
    </w:p>
    <w:p w14:paraId="5E759E96" w14:textId="137C8C4C" w:rsidR="00CC4CE8" w:rsidRPr="00961BA6" w:rsidRDefault="001916B1" w:rsidP="00D02DC8">
      <w:pPr>
        <w:pStyle w:val="20"/>
        <w:numPr>
          <w:ilvl w:val="0"/>
          <w:numId w:val="0"/>
        </w:numPr>
        <w:tabs>
          <w:tab w:val="left" w:pos="0"/>
          <w:tab w:val="left" w:pos="1276"/>
        </w:tabs>
        <w:spacing w:before="0" w:after="120"/>
        <w:ind w:firstLine="709"/>
        <w:rPr>
          <w:sz w:val="28"/>
          <w:szCs w:val="28"/>
        </w:rPr>
      </w:pPr>
      <w:r w:rsidRPr="00961BA6">
        <w:rPr>
          <w:sz w:val="28"/>
          <w:szCs w:val="28"/>
        </w:rPr>
        <w:t xml:space="preserve">3.17. </w:t>
      </w:r>
      <w:r w:rsidR="00D02DC8" w:rsidRPr="00961BA6">
        <w:rPr>
          <w:sz w:val="28"/>
          <w:szCs w:val="28"/>
        </w:rPr>
        <w:t>В целях сокращения временных затрат на рассмотрение вопросов, связанных с возможностью принятия отчетов оценочных компаний при финансировании Займов, Фонд рекомендует Заемщикам обращаться к оценочным компаниям, имеющим опыт работы с кредитными организациями, которые включены в перечень Расчетных банков</w:t>
      </w:r>
      <w:r w:rsidR="00497052" w:rsidRPr="00961BA6">
        <w:rPr>
          <w:rStyle w:val="a8"/>
          <w:szCs w:val="28"/>
        </w:rPr>
        <w:footnoteReference w:id="3"/>
      </w:r>
      <w:r w:rsidR="00D02DC8" w:rsidRPr="00961BA6">
        <w:rPr>
          <w:sz w:val="28"/>
          <w:szCs w:val="28"/>
        </w:rPr>
        <w:t xml:space="preserve"> и/или реестр специализированных компаний, соответствующих требованиям ВЭБ.РФ (специализация </w:t>
      </w:r>
      <w:r w:rsidR="00713113" w:rsidRPr="00961BA6">
        <w:rPr>
          <w:sz w:val="28"/>
          <w:szCs w:val="28"/>
        </w:rPr>
        <w:t>«</w:t>
      </w:r>
      <w:r w:rsidR="00D02DC8" w:rsidRPr="00961BA6">
        <w:rPr>
          <w:sz w:val="28"/>
          <w:szCs w:val="28"/>
        </w:rPr>
        <w:t>Оценка и сюрвейерские услуги</w:t>
      </w:r>
      <w:r w:rsidR="00713113" w:rsidRPr="00961BA6">
        <w:rPr>
          <w:sz w:val="28"/>
          <w:szCs w:val="28"/>
        </w:rPr>
        <w:t>»</w:t>
      </w:r>
      <w:r w:rsidR="00D02DC8" w:rsidRPr="00961BA6">
        <w:rPr>
          <w:sz w:val="28"/>
          <w:szCs w:val="28"/>
        </w:rPr>
        <w:t>). Фонд ежеквартально формирует и утверждает приказом перечень рекомендуемых оценочных компаний, оказывающих услуги по оценке имущества и иных активов, и размещает его на сайте Фонда. Фонд оставляет за собой право при наличии в отчете об оценке грубых нарушений и злоупотреблений, допущенных оценочной компанией, не использовать результаты оценки для целей принятия обеспечения возврата займа</w:t>
      </w:r>
      <w:r w:rsidRPr="00961BA6">
        <w:rPr>
          <w:sz w:val="28"/>
          <w:szCs w:val="28"/>
        </w:rPr>
        <w:t>.</w:t>
      </w:r>
    </w:p>
    <w:p w14:paraId="6151DB5F" w14:textId="1164EDD6" w:rsidR="00CC4CE8" w:rsidRPr="00961BA6" w:rsidRDefault="001916B1" w:rsidP="00F61C38">
      <w:pPr>
        <w:pStyle w:val="20"/>
        <w:numPr>
          <w:ilvl w:val="0"/>
          <w:numId w:val="0"/>
        </w:numPr>
        <w:tabs>
          <w:tab w:val="left" w:pos="0"/>
          <w:tab w:val="left" w:pos="1276"/>
        </w:tabs>
        <w:spacing w:before="0" w:after="120"/>
        <w:ind w:firstLine="567"/>
        <w:rPr>
          <w:sz w:val="28"/>
          <w:szCs w:val="28"/>
        </w:rPr>
      </w:pPr>
      <w:r w:rsidRPr="00961BA6">
        <w:rPr>
          <w:sz w:val="28"/>
          <w:szCs w:val="28"/>
        </w:rPr>
        <w:lastRenderedPageBreak/>
        <w:t xml:space="preserve">3.18. </w:t>
      </w:r>
      <w:r w:rsidR="00AC75F1" w:rsidRPr="00961BA6">
        <w:rPr>
          <w:sz w:val="28"/>
          <w:szCs w:val="28"/>
        </w:rPr>
        <w:t>Р</w:t>
      </w:r>
      <w:r w:rsidRPr="00961BA6">
        <w:rPr>
          <w:sz w:val="28"/>
          <w:szCs w:val="28"/>
        </w:rPr>
        <w:t>ешение о видах и объеме (изменении вида или объема) Обеспечения, отнесении его к Основному и/или Дополнительному по конкретным проектам, предлагаемым к финансированию, принимает Экспертный совет Фонда.</w:t>
      </w:r>
    </w:p>
    <w:p w14:paraId="1C59C785" w14:textId="77777777" w:rsidR="00982A60" w:rsidRPr="00961BA6" w:rsidRDefault="001916B1" w:rsidP="00982A60">
      <w:pPr>
        <w:pStyle w:val="20"/>
        <w:numPr>
          <w:ilvl w:val="0"/>
          <w:numId w:val="0"/>
        </w:numPr>
        <w:tabs>
          <w:tab w:val="left" w:pos="0"/>
          <w:tab w:val="left" w:pos="1276"/>
        </w:tabs>
        <w:spacing w:before="0" w:after="120"/>
        <w:ind w:firstLine="567"/>
        <w:rPr>
          <w:sz w:val="28"/>
          <w:szCs w:val="28"/>
        </w:rPr>
      </w:pPr>
      <w:r w:rsidRPr="00961BA6">
        <w:rPr>
          <w:sz w:val="28"/>
          <w:szCs w:val="28"/>
        </w:rPr>
        <w:t xml:space="preserve">3.19. Оформление Обеспечения осуществляется за счет Заемщика, включая расходы по нотариальному заверению, оплате услуг регистратора и т.п., и исключая оплату госпошлины за регистрацию залога недвижимого имущества, которая уплачивается сторонами в равных долях. </w:t>
      </w:r>
    </w:p>
    <w:p w14:paraId="3B480465" w14:textId="6A3283B8" w:rsidR="00F61C38" w:rsidRPr="00961BA6" w:rsidRDefault="001916B1" w:rsidP="00932E63">
      <w:pPr>
        <w:pStyle w:val="1"/>
        <w:numPr>
          <w:ilvl w:val="0"/>
          <w:numId w:val="6"/>
        </w:numPr>
        <w:tabs>
          <w:tab w:val="left" w:pos="426"/>
        </w:tabs>
        <w:spacing w:after="360"/>
        <w:ind w:left="499" w:firstLine="210"/>
        <w:rPr>
          <w:szCs w:val="28"/>
        </w:rPr>
      </w:pPr>
      <w:bookmarkStart w:id="7" w:name="_Toc61340742"/>
      <w:r w:rsidRPr="00961BA6">
        <w:rPr>
          <w:szCs w:val="28"/>
        </w:rPr>
        <w:t>Ковенанты</w:t>
      </w:r>
      <w:bookmarkEnd w:id="7"/>
    </w:p>
    <w:p w14:paraId="54DD70AE" w14:textId="6BD06265" w:rsidR="006104B0" w:rsidRPr="00961BA6" w:rsidRDefault="00574FB8" w:rsidP="00982A60">
      <w:pPr>
        <w:pStyle w:val="20"/>
        <w:tabs>
          <w:tab w:val="left" w:pos="1134"/>
          <w:tab w:val="left" w:pos="1276"/>
        </w:tabs>
        <w:spacing w:before="0" w:after="120"/>
        <w:ind w:left="0" w:firstLine="709"/>
        <w:rPr>
          <w:sz w:val="28"/>
          <w:szCs w:val="28"/>
        </w:rPr>
      </w:pPr>
      <w:r w:rsidRPr="00961BA6">
        <w:rPr>
          <w:sz w:val="28"/>
          <w:szCs w:val="28"/>
        </w:rPr>
        <w:t xml:space="preserve"> </w:t>
      </w:r>
      <w:r w:rsidR="001916B1" w:rsidRPr="00961BA6">
        <w:rPr>
          <w:sz w:val="28"/>
          <w:szCs w:val="28"/>
        </w:rPr>
        <w:t>В целях обеспечения возврата займа Фонды в договорах займа устанавлива</w:t>
      </w:r>
      <w:r w:rsidR="00216050" w:rsidRPr="00961BA6">
        <w:rPr>
          <w:sz w:val="28"/>
          <w:szCs w:val="28"/>
        </w:rPr>
        <w:t>ю</w:t>
      </w:r>
      <w:r w:rsidR="001916B1" w:rsidRPr="00961BA6">
        <w:rPr>
          <w:sz w:val="28"/>
          <w:szCs w:val="28"/>
        </w:rPr>
        <w:t>т ковенанты, которые могут быть типовыми и дополнительными. Основная цель установления таких ограничений – снижение рисков невозврата средств, предоставленных в качестве финансовой</w:t>
      </w:r>
      <w:r w:rsidR="00D67AB1" w:rsidRPr="00961BA6">
        <w:rPr>
          <w:sz w:val="28"/>
          <w:szCs w:val="28"/>
        </w:rPr>
        <w:t xml:space="preserve"> </w:t>
      </w:r>
      <w:r w:rsidR="001916B1" w:rsidRPr="00961BA6">
        <w:rPr>
          <w:sz w:val="28"/>
          <w:szCs w:val="28"/>
        </w:rPr>
        <w:t>поддержки проекта.</w:t>
      </w:r>
    </w:p>
    <w:p w14:paraId="6DCB236F" w14:textId="1265D4C5" w:rsidR="00291E4F" w:rsidRPr="00961BA6" w:rsidRDefault="001916B1" w:rsidP="00982A60">
      <w:pPr>
        <w:pStyle w:val="20"/>
        <w:numPr>
          <w:ilvl w:val="0"/>
          <w:numId w:val="0"/>
        </w:numPr>
        <w:tabs>
          <w:tab w:val="left" w:pos="1134"/>
          <w:tab w:val="left" w:pos="1276"/>
        </w:tabs>
        <w:spacing w:before="0" w:after="120"/>
        <w:ind w:firstLine="709"/>
        <w:rPr>
          <w:sz w:val="28"/>
          <w:szCs w:val="28"/>
        </w:rPr>
      </w:pPr>
      <w:r w:rsidRPr="00961BA6">
        <w:rPr>
          <w:sz w:val="28"/>
          <w:szCs w:val="28"/>
        </w:rPr>
        <w:t>Типовые</w:t>
      </w:r>
      <w:r w:rsidR="00D67AB1" w:rsidRPr="00961BA6">
        <w:rPr>
          <w:sz w:val="28"/>
          <w:szCs w:val="28"/>
        </w:rPr>
        <w:t xml:space="preserve"> </w:t>
      </w:r>
      <w:r w:rsidRPr="00961BA6">
        <w:rPr>
          <w:sz w:val="28"/>
          <w:szCs w:val="28"/>
        </w:rPr>
        <w:t>ковенанты применяются для всех Заемщиков</w:t>
      </w:r>
      <w:r w:rsidRPr="00961BA6">
        <w:rPr>
          <w:rStyle w:val="a8"/>
          <w:sz w:val="28"/>
          <w:szCs w:val="28"/>
        </w:rPr>
        <w:footnoteReference w:id="4"/>
      </w:r>
      <w:r w:rsidRPr="00961BA6">
        <w:rPr>
          <w:sz w:val="28"/>
          <w:szCs w:val="28"/>
        </w:rPr>
        <w:t>.</w:t>
      </w:r>
      <w:r w:rsidR="008A619E" w:rsidRPr="00961BA6">
        <w:rPr>
          <w:sz w:val="28"/>
          <w:szCs w:val="28"/>
        </w:rPr>
        <w:t xml:space="preserve"> </w:t>
      </w:r>
      <w:r w:rsidRPr="00961BA6">
        <w:rPr>
          <w:sz w:val="28"/>
          <w:szCs w:val="28"/>
        </w:rPr>
        <w:t>В качестве типовых</w:t>
      </w:r>
      <w:r w:rsidR="00D67AB1" w:rsidRPr="00961BA6">
        <w:rPr>
          <w:sz w:val="28"/>
          <w:szCs w:val="28"/>
        </w:rPr>
        <w:t xml:space="preserve"> </w:t>
      </w:r>
      <w:r w:rsidRPr="00961BA6">
        <w:rPr>
          <w:sz w:val="28"/>
          <w:szCs w:val="28"/>
        </w:rPr>
        <w:t>ковенант</w:t>
      </w:r>
      <w:r w:rsidR="00D67AB1" w:rsidRPr="00961BA6">
        <w:rPr>
          <w:sz w:val="28"/>
          <w:szCs w:val="28"/>
        </w:rPr>
        <w:t xml:space="preserve"> </w:t>
      </w:r>
      <w:r w:rsidRPr="00961BA6">
        <w:rPr>
          <w:sz w:val="28"/>
          <w:szCs w:val="28"/>
        </w:rPr>
        <w:t>Фонд</w:t>
      </w:r>
      <w:r w:rsidR="00D67AB1" w:rsidRPr="00961BA6">
        <w:rPr>
          <w:sz w:val="28"/>
          <w:szCs w:val="28"/>
        </w:rPr>
        <w:t>ы применяют</w:t>
      </w:r>
      <w:r w:rsidRPr="00961BA6">
        <w:rPr>
          <w:sz w:val="28"/>
          <w:szCs w:val="28"/>
        </w:rPr>
        <w:t xml:space="preserve"> следующие условия:</w:t>
      </w:r>
    </w:p>
    <w:p w14:paraId="251B4EAA" w14:textId="2A518A44" w:rsidR="00255901" w:rsidRPr="00961BA6" w:rsidRDefault="001916B1" w:rsidP="00AF6AA3">
      <w:pPr>
        <w:pStyle w:val="a4"/>
        <w:widowControl w:val="0"/>
        <w:numPr>
          <w:ilvl w:val="0"/>
          <w:numId w:val="27"/>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неисполнение или ненадлежащее исполнение Зае</w:t>
      </w:r>
      <w:r w:rsidR="00D95659" w:rsidRPr="00961BA6">
        <w:rPr>
          <w:rFonts w:ascii="Times New Roman" w:hAnsi="Times New Roman" w:cs="Times New Roman"/>
          <w:sz w:val="28"/>
          <w:szCs w:val="28"/>
        </w:rPr>
        <w:t>мщиком обязательств перед Фондами</w:t>
      </w:r>
      <w:r w:rsidRPr="00961BA6">
        <w:rPr>
          <w:rFonts w:ascii="Times New Roman" w:hAnsi="Times New Roman" w:cs="Times New Roman"/>
          <w:sz w:val="28"/>
          <w:szCs w:val="28"/>
        </w:rPr>
        <w:t xml:space="preserve"> по договору, в т.ч. несвоевременное/неполное исполнение денежных обязательств, несвоевременное предоставление </w:t>
      </w:r>
      <w:r w:rsidR="00D95659" w:rsidRPr="00961BA6">
        <w:rPr>
          <w:rFonts w:ascii="Times New Roman" w:hAnsi="Times New Roman" w:cs="Times New Roman"/>
          <w:sz w:val="28"/>
          <w:szCs w:val="28"/>
        </w:rPr>
        <w:t>отчетности, предоставление Фондам</w:t>
      </w:r>
      <w:r w:rsidRPr="00961BA6">
        <w:rPr>
          <w:rFonts w:ascii="Times New Roman" w:hAnsi="Times New Roman" w:cs="Times New Roman"/>
          <w:sz w:val="28"/>
          <w:szCs w:val="28"/>
        </w:rPr>
        <w:t xml:space="preserve"> недостоверной </w:t>
      </w:r>
      <w:r w:rsidR="00FF4DDB" w:rsidRPr="00961BA6">
        <w:rPr>
          <w:rFonts w:ascii="Times New Roman" w:hAnsi="Times New Roman" w:cs="Times New Roman"/>
          <w:sz w:val="28"/>
          <w:szCs w:val="28"/>
        </w:rPr>
        <w:t xml:space="preserve">бухгалтерской (финансовой) </w:t>
      </w:r>
      <w:r w:rsidRPr="00961BA6">
        <w:rPr>
          <w:rFonts w:ascii="Times New Roman" w:hAnsi="Times New Roman" w:cs="Times New Roman"/>
          <w:sz w:val="28"/>
          <w:szCs w:val="28"/>
        </w:rPr>
        <w:t xml:space="preserve">отчетности, </w:t>
      </w:r>
      <w:r w:rsidR="00AF29C2" w:rsidRPr="008633B8">
        <w:rPr>
          <w:rFonts w:ascii="Times New Roman" w:hAnsi="Times New Roman" w:cs="Times New Roman"/>
          <w:sz w:val="28"/>
          <w:szCs w:val="28"/>
        </w:rPr>
        <w:t>или иной информации/документов, предоставление которой предусмотрено условиями договора займа,</w:t>
      </w:r>
      <w:r w:rsidR="00AF29C2" w:rsidRPr="00961BA6">
        <w:rPr>
          <w:rFonts w:ascii="Times New Roman" w:hAnsi="Times New Roman" w:cs="Times New Roman"/>
          <w:sz w:val="28"/>
          <w:szCs w:val="28"/>
        </w:rPr>
        <w:t xml:space="preserve"> </w:t>
      </w:r>
      <w:r w:rsidRPr="00961BA6">
        <w:rPr>
          <w:rFonts w:ascii="Times New Roman" w:hAnsi="Times New Roman" w:cs="Times New Roman"/>
          <w:sz w:val="28"/>
          <w:szCs w:val="28"/>
        </w:rPr>
        <w:t>использование займа (части займа) не по целевому назначению;</w:t>
      </w:r>
    </w:p>
    <w:p w14:paraId="23A5949E" w14:textId="314EE195" w:rsidR="00255901" w:rsidRPr="00961BA6" w:rsidRDefault="00C74479" w:rsidP="00AF6AA3">
      <w:pPr>
        <w:pStyle w:val="a4"/>
        <w:widowControl w:val="0"/>
        <w:numPr>
          <w:ilvl w:val="0"/>
          <w:numId w:val="27"/>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неисполнение Заемщиком более 30 календарных дней платежных обязательств в объеме (суммарно) более 10% балансовой стоимости активов Заемщика</w:t>
      </w:r>
      <w:r w:rsidR="00B64259" w:rsidRPr="00961BA6">
        <w:rPr>
          <w:rStyle w:val="a8"/>
          <w:rFonts w:ascii="Times New Roman" w:hAnsi="Times New Roman"/>
          <w:szCs w:val="28"/>
        </w:rPr>
        <w:footnoteReference w:id="5"/>
      </w:r>
      <w:r w:rsidRPr="00961BA6">
        <w:rPr>
          <w:rFonts w:ascii="Times New Roman" w:hAnsi="Times New Roman" w:cs="Times New Roman"/>
          <w:sz w:val="28"/>
          <w:szCs w:val="28"/>
        </w:rPr>
        <w:t xml:space="preserve"> по кредитным договорам/договорам займа Заемщика с третьими лицами</w:t>
      </w:r>
      <w:r w:rsidR="001916B1" w:rsidRPr="00961BA6">
        <w:rPr>
          <w:rFonts w:ascii="Times New Roman" w:hAnsi="Times New Roman" w:cs="Times New Roman"/>
          <w:sz w:val="28"/>
          <w:szCs w:val="28"/>
        </w:rPr>
        <w:t>;</w:t>
      </w:r>
    </w:p>
    <w:p w14:paraId="22434878" w14:textId="49B55532" w:rsidR="00255901" w:rsidRPr="00961BA6" w:rsidRDefault="001916B1" w:rsidP="00AF6AA3">
      <w:pPr>
        <w:pStyle w:val="a4"/>
        <w:widowControl w:val="0"/>
        <w:numPr>
          <w:ilvl w:val="0"/>
          <w:numId w:val="27"/>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утрата/ухудшение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не предоставил иное Обеспечение в сроки, установленные настоящим стандартом</w:t>
      </w:r>
      <w:r w:rsidR="003520E9" w:rsidRPr="00961BA6">
        <w:rPr>
          <w:rFonts w:ascii="Times New Roman" w:hAnsi="Times New Roman" w:cs="Times New Roman"/>
          <w:sz w:val="28"/>
          <w:szCs w:val="28"/>
        </w:rPr>
        <w:t xml:space="preserve"> </w:t>
      </w:r>
      <w:r w:rsidR="003520E9" w:rsidRPr="008633B8">
        <w:rPr>
          <w:rFonts w:ascii="Times New Roman" w:hAnsi="Times New Roman" w:cs="Times New Roman"/>
          <w:sz w:val="28"/>
          <w:szCs w:val="28"/>
        </w:rPr>
        <w:t xml:space="preserve">и удовлетворяющее требованиям настоящего </w:t>
      </w:r>
      <w:r w:rsidR="009B1568" w:rsidRPr="008633B8">
        <w:rPr>
          <w:rFonts w:ascii="Times New Roman" w:hAnsi="Times New Roman" w:cs="Times New Roman"/>
          <w:sz w:val="28"/>
          <w:szCs w:val="28"/>
        </w:rPr>
        <w:t>с</w:t>
      </w:r>
      <w:r w:rsidR="003520E9" w:rsidRPr="008633B8">
        <w:rPr>
          <w:rFonts w:ascii="Times New Roman" w:hAnsi="Times New Roman" w:cs="Times New Roman"/>
          <w:sz w:val="28"/>
          <w:szCs w:val="28"/>
        </w:rPr>
        <w:t>тандарта</w:t>
      </w:r>
      <w:r w:rsidRPr="00961BA6">
        <w:rPr>
          <w:rFonts w:ascii="Times New Roman" w:hAnsi="Times New Roman" w:cs="Times New Roman"/>
          <w:sz w:val="28"/>
          <w:szCs w:val="28"/>
        </w:rPr>
        <w:t>;</w:t>
      </w:r>
    </w:p>
    <w:p w14:paraId="0A3FD99F" w14:textId="7B03AEB3" w:rsidR="00255901" w:rsidRPr="00961BA6" w:rsidRDefault="001916B1" w:rsidP="00AF6AA3">
      <w:pPr>
        <w:pStyle w:val="a4"/>
        <w:widowControl w:val="0"/>
        <w:numPr>
          <w:ilvl w:val="0"/>
          <w:numId w:val="27"/>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принятие в отношении Заемщика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w:t>
      </w:r>
      <w:r w:rsidR="000B0084" w:rsidRPr="00961BA6">
        <w:rPr>
          <w:rFonts w:ascii="Times New Roman" w:hAnsi="Times New Roman" w:cs="Times New Roman"/>
          <w:sz w:val="28"/>
          <w:szCs w:val="28"/>
        </w:rPr>
        <w:t>)</w:t>
      </w:r>
      <w:r w:rsidRPr="00961BA6">
        <w:rPr>
          <w:rFonts w:ascii="Times New Roman" w:hAnsi="Times New Roman" w:cs="Times New Roman"/>
          <w:sz w:val="28"/>
          <w:szCs w:val="28"/>
        </w:rPr>
        <w:t>;</w:t>
      </w:r>
    </w:p>
    <w:p w14:paraId="4E8C5AD0" w14:textId="01321BE9" w:rsidR="0088641A" w:rsidRPr="00961BA6" w:rsidRDefault="001916B1" w:rsidP="00AF6AA3">
      <w:pPr>
        <w:pStyle w:val="a4"/>
        <w:widowControl w:val="0"/>
        <w:numPr>
          <w:ilvl w:val="0"/>
          <w:numId w:val="27"/>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 xml:space="preserve">наличие вступившего в законную силу решения суда о взыскании денежных средств или об истребовании имущества Заемщика, если сумма иска (исков), составляет более 10% балансовой стоимости активов Заемщика; </w:t>
      </w:r>
    </w:p>
    <w:p w14:paraId="7A65712A" w14:textId="066BF51C" w:rsidR="00296355" w:rsidRPr="00961BA6" w:rsidRDefault="001C136E" w:rsidP="00AF6AA3">
      <w:pPr>
        <w:pStyle w:val="a4"/>
        <w:widowControl w:val="0"/>
        <w:numPr>
          <w:ilvl w:val="0"/>
          <w:numId w:val="27"/>
        </w:numPr>
        <w:tabs>
          <w:tab w:val="left" w:pos="993"/>
        </w:tabs>
        <w:spacing w:after="0"/>
        <w:ind w:left="0" w:firstLine="709"/>
        <w:contextualSpacing w:val="0"/>
        <w:rPr>
          <w:rFonts w:ascii="Times New Roman" w:hAnsi="Times New Roman" w:cs="Times New Roman"/>
          <w:sz w:val="28"/>
          <w:szCs w:val="28"/>
        </w:rPr>
      </w:pPr>
      <w:r w:rsidRPr="00961BA6">
        <w:rPr>
          <w:rStyle w:val="fontstyle01"/>
          <w:rFonts w:ascii="Times New Roman" w:hAnsi="Times New Roman" w:cs="Times New Roman"/>
          <w:sz w:val="28"/>
          <w:szCs w:val="28"/>
        </w:rPr>
        <w:lastRenderedPageBreak/>
        <w:t>наличие возбужденных в отношении Заемщика исполнительных производств, если общая сумма требований к Заемщику по ним составляет более 10% балансовой стоимости активов Заемщика</w:t>
      </w:r>
      <w:r w:rsidR="00BC22AA" w:rsidRPr="00961BA6">
        <w:rPr>
          <w:rStyle w:val="fontstyle01"/>
          <w:rFonts w:ascii="Times New Roman" w:hAnsi="Times New Roman" w:cs="Times New Roman"/>
          <w:sz w:val="28"/>
          <w:szCs w:val="28"/>
        </w:rPr>
        <w:t>;</w:t>
      </w:r>
    </w:p>
    <w:p w14:paraId="7984C449" w14:textId="42830E16" w:rsidR="00255901" w:rsidRPr="00961BA6" w:rsidRDefault="001916B1" w:rsidP="00AF6AA3">
      <w:pPr>
        <w:pStyle w:val="a4"/>
        <w:widowControl w:val="0"/>
        <w:numPr>
          <w:ilvl w:val="0"/>
          <w:numId w:val="27"/>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выявл</w:t>
      </w:r>
      <w:r w:rsidR="00D95659" w:rsidRPr="00961BA6">
        <w:rPr>
          <w:rFonts w:ascii="Times New Roman" w:hAnsi="Times New Roman" w:cs="Times New Roman"/>
          <w:sz w:val="28"/>
          <w:szCs w:val="28"/>
        </w:rPr>
        <w:t>ение Фондами</w:t>
      </w:r>
      <w:r w:rsidRPr="00961BA6">
        <w:rPr>
          <w:rFonts w:ascii="Times New Roman" w:hAnsi="Times New Roman" w:cs="Times New Roman"/>
          <w:sz w:val="28"/>
          <w:szCs w:val="28"/>
        </w:rPr>
        <w:t xml:space="preserve"> факта предоставления Заемщиком недостоверн</w:t>
      </w:r>
      <w:r w:rsidR="00921CFD" w:rsidRPr="00961BA6">
        <w:rPr>
          <w:rFonts w:ascii="Times New Roman" w:hAnsi="Times New Roman" w:cs="Times New Roman"/>
          <w:sz w:val="28"/>
          <w:szCs w:val="28"/>
        </w:rPr>
        <w:t>ых</w:t>
      </w:r>
      <w:r w:rsidRPr="00961BA6">
        <w:rPr>
          <w:rFonts w:ascii="Times New Roman" w:hAnsi="Times New Roman" w:cs="Times New Roman"/>
          <w:sz w:val="28"/>
          <w:szCs w:val="28"/>
        </w:rPr>
        <w:t xml:space="preserve"> заявлений или гарантий;</w:t>
      </w:r>
    </w:p>
    <w:p w14:paraId="756B25D8" w14:textId="77777777" w:rsidR="00255901" w:rsidRPr="00961BA6" w:rsidRDefault="001916B1" w:rsidP="00AF6AA3">
      <w:pPr>
        <w:pStyle w:val="a4"/>
        <w:widowControl w:val="0"/>
        <w:numPr>
          <w:ilvl w:val="0"/>
          <w:numId w:val="27"/>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w:t>
      </w:r>
    </w:p>
    <w:p w14:paraId="576F82A0" w14:textId="77777777" w:rsidR="00F4586B" w:rsidRPr="00961BA6" w:rsidRDefault="001916B1" w:rsidP="00AF6AA3">
      <w:pPr>
        <w:pStyle w:val="a4"/>
        <w:widowControl w:val="0"/>
        <w:numPr>
          <w:ilvl w:val="0"/>
          <w:numId w:val="27"/>
        </w:numPr>
        <w:tabs>
          <w:tab w:val="left" w:pos="993"/>
        </w:tabs>
        <w:spacing w:after="12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изменение контроля над Заемщиком</w:t>
      </w:r>
      <w:r w:rsidR="001E0954" w:rsidRPr="00961BA6">
        <w:rPr>
          <w:rFonts w:ascii="Times New Roman" w:hAnsi="Times New Roman" w:cs="Times New Roman"/>
          <w:sz w:val="28"/>
          <w:szCs w:val="28"/>
        </w:rPr>
        <w:t>, если в результате такого</w:t>
      </w:r>
      <w:r w:rsidR="003367B8" w:rsidRPr="00961BA6">
        <w:rPr>
          <w:rFonts w:ascii="Times New Roman" w:hAnsi="Times New Roman" w:cs="Times New Roman"/>
          <w:sz w:val="28"/>
          <w:szCs w:val="28"/>
        </w:rPr>
        <w:t xml:space="preserve"> </w:t>
      </w:r>
      <w:r w:rsidR="001E0954" w:rsidRPr="00961BA6">
        <w:rPr>
          <w:rFonts w:ascii="Times New Roman" w:hAnsi="Times New Roman" w:cs="Times New Roman"/>
          <w:sz w:val="28"/>
          <w:szCs w:val="28"/>
        </w:rPr>
        <w:t>изменения Заемщик отказывается от реализации проекта,</w:t>
      </w:r>
      <w:r w:rsidR="003367B8" w:rsidRPr="00961BA6">
        <w:rPr>
          <w:rFonts w:ascii="Times New Roman" w:hAnsi="Times New Roman" w:cs="Times New Roman"/>
          <w:sz w:val="28"/>
          <w:szCs w:val="28"/>
        </w:rPr>
        <w:t xml:space="preserve"> </w:t>
      </w:r>
      <w:r w:rsidR="001E0954" w:rsidRPr="00961BA6">
        <w:rPr>
          <w:rFonts w:ascii="Times New Roman" w:hAnsi="Times New Roman" w:cs="Times New Roman"/>
          <w:sz w:val="28"/>
          <w:szCs w:val="28"/>
        </w:rPr>
        <w:t>финансируемого Фондом, и (или) не соответствует ограничениям,</w:t>
      </w:r>
      <w:r w:rsidR="003367B8" w:rsidRPr="00961BA6">
        <w:rPr>
          <w:rFonts w:ascii="Times New Roman" w:hAnsi="Times New Roman" w:cs="Times New Roman"/>
          <w:sz w:val="28"/>
          <w:szCs w:val="28"/>
        </w:rPr>
        <w:t xml:space="preserve"> установленным для заявителя </w:t>
      </w:r>
      <w:r w:rsidR="001D39A5" w:rsidRPr="008633B8">
        <w:rPr>
          <w:rFonts w:ascii="Times New Roman" w:hAnsi="Times New Roman" w:cs="Times New Roman"/>
          <w:sz w:val="28"/>
          <w:szCs w:val="28"/>
        </w:rPr>
        <w:t>Стандартом №</w:t>
      </w:r>
      <w:r w:rsidR="00F4586B" w:rsidRPr="008633B8">
        <w:rPr>
          <w:rFonts w:ascii="Times New Roman" w:hAnsi="Times New Roman" w:cs="Times New Roman"/>
          <w:sz w:val="28"/>
          <w:szCs w:val="28"/>
        </w:rPr>
        <w:t xml:space="preserve"> </w:t>
      </w:r>
      <w:r w:rsidR="001D39A5" w:rsidRPr="008633B8">
        <w:rPr>
          <w:rFonts w:ascii="Times New Roman" w:hAnsi="Times New Roman" w:cs="Times New Roman"/>
          <w:sz w:val="28"/>
          <w:szCs w:val="28"/>
        </w:rPr>
        <w:t>СФ-И-242</w:t>
      </w:r>
      <w:r w:rsidR="001D39A5" w:rsidRPr="00961BA6">
        <w:rPr>
          <w:rFonts w:ascii="Times New Roman" w:hAnsi="Times New Roman" w:cs="Times New Roman"/>
          <w:sz w:val="28"/>
          <w:szCs w:val="28"/>
        </w:rPr>
        <w:t xml:space="preserve"> </w:t>
      </w:r>
      <w:r w:rsidR="003367B8" w:rsidRPr="00961BA6">
        <w:rPr>
          <w:rFonts w:ascii="Times New Roman" w:hAnsi="Times New Roman" w:cs="Times New Roman"/>
          <w:sz w:val="28"/>
          <w:szCs w:val="28"/>
        </w:rPr>
        <w:t>в отношении участия в уставном капитале, в том числе паевых инвестиционных фондов, бенефициарного владения</w:t>
      </w:r>
      <w:r w:rsidR="00F4586B" w:rsidRPr="00961BA6">
        <w:rPr>
          <w:rFonts w:ascii="Times New Roman" w:hAnsi="Times New Roman" w:cs="Times New Roman"/>
          <w:sz w:val="28"/>
          <w:szCs w:val="28"/>
          <w:u w:val="single"/>
        </w:rPr>
        <w:t>;</w:t>
      </w:r>
    </w:p>
    <w:p w14:paraId="6875EE07" w14:textId="51EBB2A5" w:rsidR="00F16EB0" w:rsidRPr="008633B8" w:rsidRDefault="00F16EB0" w:rsidP="00AF6AA3">
      <w:pPr>
        <w:pStyle w:val="a4"/>
        <w:widowControl w:val="0"/>
        <w:numPr>
          <w:ilvl w:val="0"/>
          <w:numId w:val="27"/>
        </w:numPr>
        <w:tabs>
          <w:tab w:val="left" w:pos="993"/>
        </w:tabs>
        <w:spacing w:after="120"/>
        <w:ind w:left="0" w:firstLine="709"/>
        <w:contextualSpacing w:val="0"/>
        <w:rPr>
          <w:rFonts w:ascii="Times New Roman" w:hAnsi="Times New Roman" w:cs="Times New Roman"/>
          <w:sz w:val="28"/>
          <w:szCs w:val="28"/>
        </w:rPr>
      </w:pPr>
      <w:proofErr w:type="spellStart"/>
      <w:r w:rsidRPr="008633B8">
        <w:rPr>
          <w:rFonts w:ascii="Times New Roman" w:hAnsi="Times New Roman" w:cs="Times New Roman"/>
          <w:sz w:val="28"/>
          <w:szCs w:val="28"/>
        </w:rPr>
        <w:t>невозмещение</w:t>
      </w:r>
      <w:proofErr w:type="spellEnd"/>
      <w:r w:rsidRPr="008633B8">
        <w:rPr>
          <w:rFonts w:ascii="Times New Roman" w:hAnsi="Times New Roman" w:cs="Times New Roman"/>
          <w:sz w:val="28"/>
          <w:szCs w:val="28"/>
        </w:rPr>
        <w:t xml:space="preserve"> на </w:t>
      </w:r>
      <w:r w:rsidR="00431978" w:rsidRPr="008633B8">
        <w:rPr>
          <w:rFonts w:ascii="Times New Roman" w:hAnsi="Times New Roman" w:cs="Times New Roman"/>
          <w:sz w:val="28"/>
          <w:szCs w:val="28"/>
        </w:rPr>
        <w:t>с</w:t>
      </w:r>
      <w:r w:rsidRPr="008633B8">
        <w:rPr>
          <w:rFonts w:ascii="Times New Roman" w:hAnsi="Times New Roman" w:cs="Times New Roman"/>
          <w:sz w:val="28"/>
          <w:szCs w:val="28"/>
        </w:rPr>
        <w:t xml:space="preserve">чет в течение 90 (девяноста) календарных дней с даты списания денежных средств со </w:t>
      </w:r>
      <w:r w:rsidR="00431978" w:rsidRPr="008633B8">
        <w:rPr>
          <w:rFonts w:ascii="Times New Roman" w:hAnsi="Times New Roman" w:cs="Times New Roman"/>
          <w:sz w:val="28"/>
          <w:szCs w:val="28"/>
        </w:rPr>
        <w:t>с</w:t>
      </w:r>
      <w:r w:rsidRPr="008633B8">
        <w:rPr>
          <w:rFonts w:ascii="Times New Roman" w:hAnsi="Times New Roman" w:cs="Times New Roman"/>
          <w:sz w:val="28"/>
          <w:szCs w:val="28"/>
        </w:rPr>
        <w:t>чета без акцепта Фонда;</w:t>
      </w:r>
    </w:p>
    <w:p w14:paraId="2A97BD17" w14:textId="31EA677D" w:rsidR="00255901" w:rsidRPr="008633B8" w:rsidRDefault="00F16EB0" w:rsidP="00AF6AA3">
      <w:pPr>
        <w:pStyle w:val="a4"/>
        <w:widowControl w:val="0"/>
        <w:numPr>
          <w:ilvl w:val="0"/>
          <w:numId w:val="27"/>
        </w:numPr>
        <w:tabs>
          <w:tab w:val="left" w:pos="993"/>
        </w:tabs>
        <w:spacing w:after="120"/>
        <w:ind w:left="0" w:firstLine="709"/>
        <w:contextualSpacing w:val="0"/>
        <w:rPr>
          <w:rFonts w:ascii="Times New Roman" w:hAnsi="Times New Roman" w:cs="Times New Roman"/>
          <w:sz w:val="28"/>
          <w:szCs w:val="28"/>
        </w:rPr>
      </w:pPr>
      <w:proofErr w:type="spellStart"/>
      <w:r w:rsidRPr="008633B8">
        <w:rPr>
          <w:rFonts w:ascii="Times New Roman" w:hAnsi="Times New Roman" w:cs="Times New Roman"/>
          <w:sz w:val="28"/>
          <w:szCs w:val="28"/>
        </w:rPr>
        <w:t>невозмещение</w:t>
      </w:r>
      <w:proofErr w:type="spellEnd"/>
      <w:r w:rsidRPr="008633B8">
        <w:rPr>
          <w:rFonts w:ascii="Times New Roman" w:hAnsi="Times New Roman" w:cs="Times New Roman"/>
          <w:sz w:val="28"/>
          <w:szCs w:val="28"/>
        </w:rPr>
        <w:t xml:space="preserve"> на </w:t>
      </w:r>
      <w:r w:rsidR="00431978" w:rsidRPr="008633B8">
        <w:rPr>
          <w:rFonts w:ascii="Times New Roman" w:hAnsi="Times New Roman" w:cs="Times New Roman"/>
          <w:sz w:val="28"/>
          <w:szCs w:val="28"/>
        </w:rPr>
        <w:t>с</w:t>
      </w:r>
      <w:r w:rsidRPr="008633B8">
        <w:rPr>
          <w:rFonts w:ascii="Times New Roman" w:hAnsi="Times New Roman" w:cs="Times New Roman"/>
          <w:sz w:val="28"/>
          <w:szCs w:val="28"/>
        </w:rPr>
        <w:t>чет в течение 90 (девяноста) календарных дней с даты возврата денежных средств по неисполненным сделкам, в отношении которых Фондом совершен акцепт платежей</w:t>
      </w:r>
      <w:r w:rsidR="003367B8" w:rsidRPr="008633B8">
        <w:rPr>
          <w:rFonts w:ascii="Times New Roman" w:hAnsi="Times New Roman" w:cs="Times New Roman"/>
          <w:sz w:val="28"/>
          <w:szCs w:val="28"/>
        </w:rPr>
        <w:t>.</w:t>
      </w:r>
    </w:p>
    <w:p w14:paraId="15624623" w14:textId="700979F7" w:rsidR="00A3137F" w:rsidRPr="00961BA6" w:rsidRDefault="00A3137F" w:rsidP="003E1003">
      <w:pPr>
        <w:pStyle w:val="a4"/>
        <w:widowControl w:val="0"/>
        <w:tabs>
          <w:tab w:val="left" w:pos="993"/>
        </w:tabs>
        <w:spacing w:after="120"/>
        <w:ind w:left="0" w:firstLine="709"/>
        <w:rPr>
          <w:rFonts w:ascii="Times New Roman" w:hAnsi="Times New Roman" w:cs="Times New Roman"/>
          <w:sz w:val="28"/>
          <w:szCs w:val="28"/>
        </w:rPr>
      </w:pPr>
      <w:r w:rsidRPr="00961BA6">
        <w:rPr>
          <w:rFonts w:ascii="Times New Roman" w:hAnsi="Times New Roman" w:cs="Times New Roman"/>
          <w:sz w:val="28"/>
          <w:szCs w:val="28"/>
        </w:rPr>
        <w:t>Ковенанты б) и д) не применяются, когда таким третьим лицом выступает</w:t>
      </w:r>
      <w:r w:rsidR="00253823" w:rsidRPr="00961BA6">
        <w:rPr>
          <w:rFonts w:ascii="Times New Roman" w:hAnsi="Times New Roman" w:cs="Times New Roman"/>
          <w:sz w:val="28"/>
          <w:szCs w:val="28"/>
        </w:rPr>
        <w:t xml:space="preserve"> </w:t>
      </w:r>
      <w:r w:rsidRPr="00961BA6">
        <w:rPr>
          <w:rFonts w:ascii="Times New Roman" w:hAnsi="Times New Roman" w:cs="Times New Roman"/>
          <w:sz w:val="28"/>
          <w:szCs w:val="28"/>
        </w:rPr>
        <w:t>Банк и (или) когда такое решение суда вынесено в пользу Банка в случае</w:t>
      </w:r>
      <w:r w:rsidR="00253823" w:rsidRPr="00961BA6">
        <w:rPr>
          <w:rFonts w:ascii="Times New Roman" w:hAnsi="Times New Roman" w:cs="Times New Roman"/>
          <w:sz w:val="28"/>
          <w:szCs w:val="28"/>
        </w:rPr>
        <w:t xml:space="preserve"> </w:t>
      </w:r>
      <w:r w:rsidRPr="00961BA6">
        <w:rPr>
          <w:rFonts w:ascii="Times New Roman" w:hAnsi="Times New Roman" w:cs="Times New Roman"/>
          <w:sz w:val="28"/>
          <w:szCs w:val="28"/>
        </w:rPr>
        <w:t>одновременного соблюдения следующих условий:</w:t>
      </w:r>
    </w:p>
    <w:p w14:paraId="2B3C9668" w14:textId="3FF2F049" w:rsidR="00A3137F" w:rsidRPr="00961BA6" w:rsidRDefault="00A3137F" w:rsidP="003E1003">
      <w:pPr>
        <w:pStyle w:val="a4"/>
        <w:widowControl w:val="0"/>
        <w:numPr>
          <w:ilvl w:val="0"/>
          <w:numId w:val="28"/>
        </w:numPr>
        <w:tabs>
          <w:tab w:val="left" w:pos="1276"/>
        </w:tabs>
        <w:spacing w:after="120"/>
        <w:ind w:left="0" w:firstLine="709"/>
        <w:rPr>
          <w:rFonts w:ascii="Times New Roman" w:hAnsi="Times New Roman" w:cs="Times New Roman"/>
          <w:sz w:val="28"/>
          <w:szCs w:val="28"/>
        </w:rPr>
      </w:pPr>
      <w:r w:rsidRPr="00961BA6">
        <w:rPr>
          <w:rFonts w:ascii="Times New Roman" w:hAnsi="Times New Roman" w:cs="Times New Roman"/>
          <w:sz w:val="28"/>
          <w:szCs w:val="28"/>
        </w:rPr>
        <w:t>Банк предоставляет Фонду гарантию на всю сумму основного долга и подлежащих уплате за все время пользования Займом процентов;</w:t>
      </w:r>
    </w:p>
    <w:p w14:paraId="42BBD006" w14:textId="4C2EEE41" w:rsidR="00A3137F" w:rsidRPr="00961BA6" w:rsidRDefault="00A3137F" w:rsidP="003E1003">
      <w:pPr>
        <w:pStyle w:val="a4"/>
        <w:widowControl w:val="0"/>
        <w:numPr>
          <w:ilvl w:val="0"/>
          <w:numId w:val="28"/>
        </w:numPr>
        <w:tabs>
          <w:tab w:val="left" w:pos="1276"/>
        </w:tabs>
        <w:spacing w:after="120"/>
        <w:ind w:left="0" w:firstLine="709"/>
        <w:rPr>
          <w:rFonts w:ascii="Times New Roman" w:hAnsi="Times New Roman" w:cs="Times New Roman"/>
          <w:sz w:val="28"/>
          <w:szCs w:val="28"/>
        </w:rPr>
      </w:pPr>
      <w:r w:rsidRPr="00961BA6">
        <w:rPr>
          <w:rFonts w:ascii="Times New Roman" w:hAnsi="Times New Roman" w:cs="Times New Roman"/>
          <w:sz w:val="28"/>
          <w:szCs w:val="28"/>
        </w:rPr>
        <w:t xml:space="preserve">Банк предоставляет Заемщику денежные средства для </w:t>
      </w:r>
      <w:proofErr w:type="spellStart"/>
      <w:r w:rsidRPr="00961BA6">
        <w:rPr>
          <w:rFonts w:ascii="Times New Roman" w:hAnsi="Times New Roman" w:cs="Times New Roman"/>
          <w:sz w:val="28"/>
          <w:szCs w:val="28"/>
        </w:rPr>
        <w:t>софинансирования</w:t>
      </w:r>
      <w:proofErr w:type="spellEnd"/>
      <w:r w:rsidRPr="00961BA6">
        <w:rPr>
          <w:rFonts w:ascii="Times New Roman" w:hAnsi="Times New Roman" w:cs="Times New Roman"/>
          <w:sz w:val="28"/>
          <w:szCs w:val="28"/>
        </w:rPr>
        <w:t xml:space="preserve"> Проекта;</w:t>
      </w:r>
    </w:p>
    <w:p w14:paraId="52C6DCC8" w14:textId="1EA54ABD" w:rsidR="00C83779" w:rsidRPr="00961BA6" w:rsidRDefault="00A3137F" w:rsidP="003E1003">
      <w:pPr>
        <w:pStyle w:val="a4"/>
        <w:widowControl w:val="0"/>
        <w:numPr>
          <w:ilvl w:val="0"/>
          <w:numId w:val="28"/>
        </w:numPr>
        <w:tabs>
          <w:tab w:val="left" w:pos="1276"/>
        </w:tabs>
        <w:spacing w:after="120"/>
        <w:ind w:left="0" w:firstLine="709"/>
        <w:rPr>
          <w:rFonts w:ascii="Times New Roman" w:hAnsi="Times New Roman" w:cs="Times New Roman"/>
          <w:sz w:val="28"/>
          <w:szCs w:val="28"/>
        </w:rPr>
      </w:pPr>
      <w:r w:rsidRPr="00961BA6">
        <w:rPr>
          <w:rFonts w:ascii="Times New Roman" w:hAnsi="Times New Roman" w:cs="Times New Roman"/>
          <w:sz w:val="28"/>
          <w:szCs w:val="28"/>
        </w:rPr>
        <w:t xml:space="preserve">на момент выявления нарушения Банк входит в перечень </w:t>
      </w:r>
      <w:r w:rsidR="000C334C" w:rsidRPr="008633B8">
        <w:rPr>
          <w:rFonts w:ascii="Times New Roman" w:hAnsi="Times New Roman" w:cs="Times New Roman"/>
          <w:sz w:val="28"/>
          <w:szCs w:val="28"/>
        </w:rPr>
        <w:t>Расчетных</w:t>
      </w:r>
      <w:r w:rsidR="000C334C" w:rsidRPr="00961BA6">
        <w:rPr>
          <w:rFonts w:ascii="Times New Roman" w:hAnsi="Times New Roman" w:cs="Times New Roman"/>
          <w:sz w:val="28"/>
          <w:szCs w:val="28"/>
          <w:u w:val="single"/>
        </w:rPr>
        <w:t xml:space="preserve"> </w:t>
      </w:r>
      <w:r w:rsidRPr="00961BA6">
        <w:rPr>
          <w:rFonts w:ascii="Times New Roman" w:hAnsi="Times New Roman" w:cs="Times New Roman"/>
          <w:sz w:val="28"/>
          <w:szCs w:val="28"/>
        </w:rPr>
        <w:t>банков,</w:t>
      </w:r>
      <w:r w:rsidR="00253823" w:rsidRPr="00961BA6">
        <w:rPr>
          <w:rFonts w:ascii="Times New Roman" w:hAnsi="Times New Roman" w:cs="Times New Roman"/>
          <w:sz w:val="28"/>
          <w:szCs w:val="28"/>
        </w:rPr>
        <w:t xml:space="preserve"> </w:t>
      </w:r>
      <w:r w:rsidR="00F21005" w:rsidRPr="008633B8">
        <w:rPr>
          <w:rFonts w:ascii="Times New Roman" w:hAnsi="Times New Roman" w:cs="Times New Roman"/>
          <w:sz w:val="28"/>
          <w:szCs w:val="28"/>
        </w:rPr>
        <w:t>определенных</w:t>
      </w:r>
      <w:r w:rsidR="00F21005" w:rsidRPr="00961BA6">
        <w:rPr>
          <w:rFonts w:ascii="Times New Roman" w:hAnsi="Times New Roman" w:cs="Times New Roman"/>
          <w:sz w:val="28"/>
          <w:szCs w:val="28"/>
        </w:rPr>
        <w:t xml:space="preserve"> </w:t>
      </w:r>
      <w:r w:rsidRPr="00961BA6">
        <w:rPr>
          <w:rFonts w:ascii="Times New Roman" w:hAnsi="Times New Roman" w:cs="Times New Roman"/>
          <w:sz w:val="28"/>
          <w:szCs w:val="28"/>
        </w:rPr>
        <w:t>Фондом</w:t>
      </w:r>
      <w:r w:rsidRPr="00961BA6">
        <w:rPr>
          <w:rFonts w:ascii="Times New Roman" w:hAnsi="Times New Roman" w:cs="Times New Roman"/>
          <w:sz w:val="28"/>
          <w:szCs w:val="28"/>
          <w:u w:val="single"/>
        </w:rPr>
        <w:t>.</w:t>
      </w:r>
    </w:p>
    <w:p w14:paraId="1A3DEB4E" w14:textId="77777777" w:rsidR="006104B0" w:rsidRPr="00961BA6" w:rsidRDefault="001916B1" w:rsidP="00BB5081">
      <w:pPr>
        <w:pStyle w:val="20"/>
        <w:tabs>
          <w:tab w:val="left" w:pos="1276"/>
          <w:tab w:val="left" w:pos="1701"/>
        </w:tabs>
        <w:spacing w:before="0" w:after="120"/>
        <w:ind w:left="0" w:firstLine="709"/>
        <w:rPr>
          <w:sz w:val="28"/>
          <w:szCs w:val="28"/>
        </w:rPr>
      </w:pPr>
      <w:r w:rsidRPr="00961BA6">
        <w:rPr>
          <w:sz w:val="28"/>
          <w:szCs w:val="28"/>
        </w:rPr>
        <w:t>Дополнительные ковенанты устанавливаются Фондами исходя из особенностей деятельности Заемщика и финансируемого проекта, а также иных факторов.</w:t>
      </w:r>
    </w:p>
    <w:p w14:paraId="5478E1E8" w14:textId="416C3F11" w:rsidR="006104B0" w:rsidRPr="00961BA6" w:rsidRDefault="00B04596" w:rsidP="00905C84">
      <w:pPr>
        <w:pStyle w:val="20"/>
        <w:numPr>
          <w:ilvl w:val="0"/>
          <w:numId w:val="0"/>
        </w:numPr>
        <w:tabs>
          <w:tab w:val="left" w:pos="1276"/>
          <w:tab w:val="left" w:pos="1701"/>
        </w:tabs>
        <w:spacing w:before="0" w:after="120"/>
        <w:ind w:firstLine="709"/>
        <w:rPr>
          <w:sz w:val="28"/>
          <w:szCs w:val="28"/>
        </w:rPr>
      </w:pPr>
      <w:r w:rsidRPr="00961BA6">
        <w:rPr>
          <w:sz w:val="28"/>
          <w:szCs w:val="28"/>
        </w:rPr>
        <w:t>Р</w:t>
      </w:r>
      <w:r w:rsidR="001916B1" w:rsidRPr="00961BA6">
        <w:rPr>
          <w:sz w:val="28"/>
          <w:szCs w:val="28"/>
        </w:rPr>
        <w:t>ешение о составе дополнительных ковенантов принимает Экспертный совет Фонда.</w:t>
      </w:r>
    </w:p>
    <w:p w14:paraId="70BC53CD" w14:textId="394840EE" w:rsidR="00905C84" w:rsidRPr="00961BA6" w:rsidRDefault="00A1025B" w:rsidP="002A6566">
      <w:pPr>
        <w:pStyle w:val="20"/>
        <w:tabs>
          <w:tab w:val="left" w:pos="1276"/>
          <w:tab w:val="left" w:pos="1701"/>
        </w:tabs>
        <w:spacing w:before="0" w:after="120"/>
        <w:ind w:left="0" w:firstLine="709"/>
        <w:rPr>
          <w:sz w:val="28"/>
          <w:szCs w:val="28"/>
        </w:rPr>
      </w:pPr>
      <w:r w:rsidRPr="00961BA6">
        <w:rPr>
          <w:rStyle w:val="fontstyle01"/>
          <w:rFonts w:ascii="Times New Roman" w:hAnsi="Times New Roman"/>
          <w:sz w:val="28"/>
          <w:szCs w:val="28"/>
        </w:rPr>
        <w:t>Типовые и дополнительные ковенанты подлежат применению с учетом оценки рисков в случае их нарушения, порядок оценки таких рисков установлен Стандартом Фонда №</w:t>
      </w:r>
      <w:r w:rsidR="007524C5" w:rsidRPr="00961BA6">
        <w:rPr>
          <w:rStyle w:val="fontstyle01"/>
          <w:rFonts w:ascii="Times New Roman" w:hAnsi="Times New Roman"/>
          <w:sz w:val="28"/>
          <w:szCs w:val="28"/>
        </w:rPr>
        <w:t xml:space="preserve"> </w:t>
      </w:r>
      <w:r w:rsidRPr="00961BA6">
        <w:rPr>
          <w:rStyle w:val="fontstyle01"/>
          <w:rFonts w:ascii="Times New Roman" w:hAnsi="Times New Roman"/>
          <w:sz w:val="28"/>
          <w:szCs w:val="28"/>
        </w:rPr>
        <w:t>СФ-И-100 «Порядок осуществления мониторинга за возвратностью предоставленных денежных средств».</w:t>
      </w:r>
    </w:p>
    <w:p w14:paraId="3C7F6191" w14:textId="77777777" w:rsidR="00863815" w:rsidRPr="00961BA6" w:rsidRDefault="001916B1" w:rsidP="000A6D0A">
      <w:pPr>
        <w:pStyle w:val="20"/>
        <w:tabs>
          <w:tab w:val="left" w:pos="1276"/>
          <w:tab w:val="left" w:pos="1701"/>
        </w:tabs>
        <w:spacing w:before="0" w:after="120"/>
        <w:ind w:left="0" w:firstLine="709"/>
        <w:rPr>
          <w:sz w:val="28"/>
          <w:szCs w:val="28"/>
        </w:rPr>
      </w:pPr>
      <w:r w:rsidRPr="00961BA6">
        <w:rPr>
          <w:sz w:val="28"/>
          <w:szCs w:val="28"/>
        </w:rPr>
        <w:t xml:space="preserve">В договор займа в качестве основания для отказа Фондами в предоставлении денежных средств в соответствии с графиком (очередного транша) по договору займа включаются типовые ковенанты, а также такие события как банкротство и ликвидация (обстоятельства, с которыми </w:t>
      </w:r>
      <w:r w:rsidRPr="00961BA6">
        <w:rPr>
          <w:sz w:val="28"/>
          <w:szCs w:val="28"/>
        </w:rPr>
        <w:lastRenderedPageBreak/>
        <w:t xml:space="preserve">законодательство связывает признание срока исполнения обязательств должника перед кредиторами наступившим). </w:t>
      </w:r>
    </w:p>
    <w:p w14:paraId="7DCEBACF" w14:textId="0EBF852F" w:rsidR="00C64146" w:rsidRPr="00961BA6" w:rsidRDefault="001916B1" w:rsidP="00863815">
      <w:pPr>
        <w:widowControl w:val="0"/>
        <w:tabs>
          <w:tab w:val="left" w:pos="993"/>
        </w:tabs>
        <w:spacing w:after="120"/>
        <w:ind w:firstLine="709"/>
        <w:rPr>
          <w:rFonts w:ascii="Times New Roman" w:hAnsi="Times New Roman" w:cs="Times New Roman"/>
          <w:sz w:val="28"/>
          <w:szCs w:val="28"/>
        </w:rPr>
      </w:pPr>
      <w:r w:rsidRPr="00961BA6">
        <w:rPr>
          <w:rFonts w:ascii="Times New Roman" w:hAnsi="Times New Roman" w:cs="Times New Roman"/>
          <w:sz w:val="28"/>
          <w:szCs w:val="28"/>
        </w:rPr>
        <w:t>При выявлении указанных обстоятельств (юридических фактов) Фонды предпринимают дальнейшие действия в порядке, предусмотренном Стандартом Фонда № СФ-И-100</w:t>
      </w:r>
      <w:r w:rsidRPr="00961BA6">
        <w:rPr>
          <w:rFonts w:ascii="Times New Roman" w:hAnsi="Times New Roman" w:cs="Times New Roman"/>
          <w:sz w:val="28"/>
          <w:szCs w:val="28"/>
          <w:u w:val="single"/>
        </w:rPr>
        <w:t xml:space="preserve"> </w:t>
      </w:r>
      <w:r w:rsidRPr="00961BA6">
        <w:rPr>
          <w:rFonts w:ascii="Times New Roman" w:hAnsi="Times New Roman" w:cs="Times New Roman"/>
          <w:sz w:val="28"/>
          <w:szCs w:val="28"/>
        </w:rPr>
        <w:t>и Стандартом Фонда ВО № СФ-04.</w:t>
      </w:r>
    </w:p>
    <w:p w14:paraId="7EE18DCF" w14:textId="1B351D9D" w:rsidR="00AC0BC6" w:rsidRPr="00961BA6" w:rsidRDefault="001916B1" w:rsidP="00822A29">
      <w:pPr>
        <w:pStyle w:val="20"/>
        <w:tabs>
          <w:tab w:val="left" w:pos="1276"/>
        </w:tabs>
        <w:spacing w:before="0" w:after="120"/>
        <w:ind w:left="0" w:firstLine="709"/>
        <w:rPr>
          <w:sz w:val="28"/>
          <w:szCs w:val="28"/>
        </w:rPr>
      </w:pPr>
      <w:r w:rsidRPr="00961BA6">
        <w:rPr>
          <w:sz w:val="28"/>
          <w:szCs w:val="28"/>
        </w:rPr>
        <w:t>В сроки, определенные договором займа, Заемщик обязан информировать Фонды об обстоятельствах, имеющих существенное значение для оценки финансово-экономического состояния Заемщика /</w:t>
      </w:r>
      <w:r w:rsidR="00D44340" w:rsidRPr="00961BA6">
        <w:rPr>
          <w:sz w:val="28"/>
          <w:szCs w:val="28"/>
        </w:rPr>
        <w:t xml:space="preserve"> </w:t>
      </w:r>
      <w:r w:rsidRPr="00961BA6">
        <w:rPr>
          <w:sz w:val="28"/>
          <w:szCs w:val="28"/>
        </w:rPr>
        <w:t>лица, предоставившего обеспечение по займу, и его способности исполнять обязательства по займу /</w:t>
      </w:r>
      <w:r w:rsidR="00D44340" w:rsidRPr="00961BA6">
        <w:rPr>
          <w:sz w:val="28"/>
          <w:szCs w:val="28"/>
        </w:rPr>
        <w:t xml:space="preserve"> </w:t>
      </w:r>
      <w:r w:rsidRPr="00961BA6">
        <w:rPr>
          <w:sz w:val="28"/>
          <w:szCs w:val="28"/>
        </w:rPr>
        <w:t>предоставленному обеспечению</w:t>
      </w:r>
      <w:r w:rsidR="009063C6" w:rsidRPr="00961BA6">
        <w:rPr>
          <w:sz w:val="28"/>
          <w:szCs w:val="28"/>
        </w:rPr>
        <w:t xml:space="preserve">, </w:t>
      </w:r>
      <w:r w:rsidR="007524C5" w:rsidRPr="008633B8">
        <w:rPr>
          <w:sz w:val="28"/>
          <w:szCs w:val="28"/>
        </w:rPr>
        <w:t>в соответствии со Стандартом Фонда № СФ-И-100.</w:t>
      </w:r>
    </w:p>
    <w:p w14:paraId="7AFB9D79" w14:textId="3501A56A" w:rsidR="0083231B" w:rsidRPr="00961BA6" w:rsidRDefault="001916B1" w:rsidP="00932E63">
      <w:pPr>
        <w:pStyle w:val="1"/>
        <w:numPr>
          <w:ilvl w:val="0"/>
          <w:numId w:val="6"/>
        </w:numPr>
        <w:spacing w:after="360"/>
        <w:ind w:left="709" w:firstLine="0"/>
        <w:rPr>
          <w:szCs w:val="28"/>
        </w:rPr>
      </w:pPr>
      <w:bookmarkStart w:id="8" w:name="_Toc61340743"/>
      <w:r w:rsidRPr="00961BA6">
        <w:rPr>
          <w:szCs w:val="28"/>
        </w:rPr>
        <w:t>Управление Обеспечением возврата средств на стадии экспертизы и оформления договора займа</w:t>
      </w:r>
      <w:bookmarkEnd w:id="8"/>
    </w:p>
    <w:p w14:paraId="21D52744" w14:textId="2D850881" w:rsidR="00B861EE" w:rsidRPr="00961BA6" w:rsidRDefault="00307FD0" w:rsidP="004C7ED9">
      <w:pPr>
        <w:pStyle w:val="20"/>
        <w:tabs>
          <w:tab w:val="left" w:pos="1134"/>
          <w:tab w:val="left" w:pos="1701"/>
        </w:tabs>
        <w:spacing w:before="0" w:after="120"/>
        <w:ind w:left="0" w:firstLine="709"/>
        <w:rPr>
          <w:sz w:val="28"/>
          <w:szCs w:val="28"/>
        </w:rPr>
      </w:pPr>
      <w:r w:rsidRPr="00961BA6">
        <w:rPr>
          <w:sz w:val="28"/>
          <w:szCs w:val="28"/>
        </w:rPr>
        <w:t xml:space="preserve"> </w:t>
      </w:r>
      <w:r w:rsidR="001916B1" w:rsidRPr="00961BA6">
        <w:rPr>
          <w:sz w:val="28"/>
          <w:szCs w:val="28"/>
        </w:rPr>
        <w:t>Управление обеспечением возврата средств займов на стадии экспертизы и оформления договора займа включает следующие мероприятия:</w:t>
      </w:r>
    </w:p>
    <w:p w14:paraId="09501C5F" w14:textId="77777777" w:rsidR="00BF4519" w:rsidRPr="00961BA6" w:rsidRDefault="001916B1" w:rsidP="004A4A58">
      <w:pPr>
        <w:pStyle w:val="a4"/>
        <w:numPr>
          <w:ilvl w:val="0"/>
          <w:numId w:val="5"/>
        </w:numPr>
        <w:tabs>
          <w:tab w:val="left" w:pos="1134"/>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изучение качества предложенного Обеспечения или финансового состояния лица, предоставляющего Обеспечение;</w:t>
      </w:r>
    </w:p>
    <w:p w14:paraId="615D129F" w14:textId="77777777" w:rsidR="00193E0C" w:rsidRPr="00961BA6" w:rsidRDefault="001916B1" w:rsidP="004A4A58">
      <w:pPr>
        <w:pStyle w:val="a4"/>
        <w:numPr>
          <w:ilvl w:val="0"/>
          <w:numId w:val="5"/>
        </w:numPr>
        <w:tabs>
          <w:tab w:val="left" w:pos="1134"/>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проверка правоспособности лица, предоставляющего Обеспечение, и его прав на имущество, предоставляемое в залог;</w:t>
      </w:r>
    </w:p>
    <w:p w14:paraId="4AA03ABF" w14:textId="77777777" w:rsidR="004E124C" w:rsidRPr="00961BA6" w:rsidRDefault="001916B1" w:rsidP="004A4A58">
      <w:pPr>
        <w:pStyle w:val="a4"/>
        <w:numPr>
          <w:ilvl w:val="0"/>
          <w:numId w:val="5"/>
        </w:numPr>
        <w:tabs>
          <w:tab w:val="left" w:pos="1134"/>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согласование предоставляемого Обеспечения при формировании проекта решения Экспертного совета Фонда ВО</w:t>
      </w:r>
      <w:r w:rsidR="00740A06" w:rsidRPr="00961BA6">
        <w:rPr>
          <w:rFonts w:ascii="Times New Roman" w:hAnsi="Times New Roman" w:cs="Times New Roman"/>
          <w:sz w:val="28"/>
          <w:szCs w:val="28"/>
        </w:rPr>
        <w:t xml:space="preserve"> и</w:t>
      </w:r>
      <w:r w:rsidRPr="00961BA6">
        <w:rPr>
          <w:rFonts w:ascii="Times New Roman" w:hAnsi="Times New Roman" w:cs="Times New Roman"/>
          <w:sz w:val="28"/>
          <w:szCs w:val="28"/>
        </w:rPr>
        <w:t xml:space="preserve"> Фонда;</w:t>
      </w:r>
    </w:p>
    <w:p w14:paraId="7FFA9B2F" w14:textId="77777777" w:rsidR="005A61C0" w:rsidRPr="00961BA6" w:rsidRDefault="001916B1" w:rsidP="00C426F7">
      <w:pPr>
        <w:pStyle w:val="a4"/>
        <w:numPr>
          <w:ilvl w:val="0"/>
          <w:numId w:val="5"/>
        </w:numPr>
        <w:tabs>
          <w:tab w:val="left" w:pos="1134"/>
        </w:tabs>
        <w:spacing w:after="12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подготовка соответствующих договоров, соглашений и иных юридических документов по Обеспечению после принятия решения о предоставлении займа.</w:t>
      </w:r>
    </w:p>
    <w:p w14:paraId="4C204632" w14:textId="04B53A2A" w:rsidR="009E18B2" w:rsidRPr="00961BA6" w:rsidRDefault="00FE35AE" w:rsidP="001975D6">
      <w:pPr>
        <w:pStyle w:val="20"/>
        <w:tabs>
          <w:tab w:val="left" w:pos="1134"/>
          <w:tab w:val="left" w:pos="1560"/>
        </w:tabs>
        <w:spacing w:before="0" w:after="120"/>
        <w:ind w:left="0" w:firstLine="709"/>
        <w:rPr>
          <w:sz w:val="28"/>
          <w:szCs w:val="28"/>
        </w:rPr>
      </w:pPr>
      <w:r w:rsidRPr="00961BA6">
        <w:rPr>
          <w:sz w:val="28"/>
          <w:szCs w:val="28"/>
        </w:rPr>
        <w:t xml:space="preserve"> </w:t>
      </w:r>
      <w:r w:rsidR="001916B1" w:rsidRPr="00961BA6">
        <w:rPr>
          <w:sz w:val="28"/>
          <w:szCs w:val="28"/>
        </w:rPr>
        <w:t>При подаче заявки Заемщик указывает возможные виды предоставляемого Обеспечения с приложением комплекта документов по нему, указанного в личном кабинете на сайте Фонда в зависимости от вида Обеспечения.</w:t>
      </w:r>
    </w:p>
    <w:p w14:paraId="0D31CA34" w14:textId="2AAEEFEA" w:rsidR="009E18B2" w:rsidRPr="00961BA6" w:rsidRDefault="00E57960" w:rsidP="001975D6">
      <w:pPr>
        <w:pStyle w:val="20"/>
        <w:tabs>
          <w:tab w:val="left" w:pos="1134"/>
          <w:tab w:val="left" w:pos="1560"/>
        </w:tabs>
        <w:spacing w:before="0" w:after="120"/>
        <w:ind w:left="0" w:firstLine="709"/>
        <w:rPr>
          <w:sz w:val="28"/>
          <w:szCs w:val="28"/>
        </w:rPr>
      </w:pPr>
      <w:r w:rsidRPr="00961BA6">
        <w:rPr>
          <w:sz w:val="28"/>
          <w:szCs w:val="28"/>
        </w:rPr>
        <w:t xml:space="preserve"> </w:t>
      </w:r>
      <w:r w:rsidR="001916B1" w:rsidRPr="00961BA6">
        <w:rPr>
          <w:sz w:val="28"/>
          <w:szCs w:val="28"/>
        </w:rPr>
        <w:t>Экспертиза полученных Фондами заявок осуществляется в соответствии со стандартами Фондов. Экспертиза включает анализ качества и достаточности предлагаемого Обеспечения. По результатам экспертизы Фондами могут быть запрошены дополнительные документы по предоставляемому Обеспечению.</w:t>
      </w:r>
    </w:p>
    <w:p w14:paraId="4A26DECB" w14:textId="3DE0C372" w:rsidR="005331CA" w:rsidRPr="00961BA6" w:rsidRDefault="00AA0D67" w:rsidP="001975D6">
      <w:pPr>
        <w:pStyle w:val="20"/>
        <w:tabs>
          <w:tab w:val="left" w:pos="1134"/>
          <w:tab w:val="left" w:pos="1560"/>
        </w:tabs>
        <w:spacing w:before="0" w:after="120"/>
        <w:ind w:left="0" w:firstLine="709"/>
        <w:rPr>
          <w:sz w:val="28"/>
          <w:szCs w:val="28"/>
        </w:rPr>
      </w:pPr>
      <w:r w:rsidRPr="00961BA6">
        <w:rPr>
          <w:sz w:val="28"/>
          <w:szCs w:val="28"/>
        </w:rPr>
        <w:t xml:space="preserve"> </w:t>
      </w:r>
      <w:r w:rsidR="001916B1" w:rsidRPr="00961BA6">
        <w:rPr>
          <w:sz w:val="28"/>
          <w:szCs w:val="28"/>
        </w:rPr>
        <w:t>По результатам экспертизы заявки Фонды выносят проект на рассмотрение Экспертным советом Фонда ВО и Фонда с приложением согласованного списка предоставляемого Обеспечения.</w:t>
      </w:r>
    </w:p>
    <w:p w14:paraId="3870792E" w14:textId="29CB0D00" w:rsidR="00B55FE5" w:rsidRPr="00961BA6" w:rsidRDefault="00293F55" w:rsidP="006241BC">
      <w:pPr>
        <w:pStyle w:val="20"/>
        <w:numPr>
          <w:ilvl w:val="0"/>
          <w:numId w:val="5"/>
        </w:numPr>
        <w:tabs>
          <w:tab w:val="left" w:pos="1134"/>
          <w:tab w:val="left" w:pos="1560"/>
        </w:tabs>
        <w:spacing w:before="0"/>
        <w:ind w:left="0" w:firstLine="709"/>
        <w:rPr>
          <w:sz w:val="28"/>
          <w:szCs w:val="28"/>
        </w:rPr>
      </w:pPr>
      <w:r w:rsidRPr="00961BA6">
        <w:rPr>
          <w:sz w:val="28"/>
          <w:szCs w:val="28"/>
        </w:rPr>
        <w:t xml:space="preserve"> </w:t>
      </w:r>
      <w:r w:rsidR="001916B1" w:rsidRPr="00961BA6">
        <w:rPr>
          <w:sz w:val="28"/>
          <w:szCs w:val="28"/>
        </w:rPr>
        <w:t>После принятия Экспертным советом Фонда (а в установленных случаях – Наблюдательным советом Фонда)</w:t>
      </w:r>
      <w:r w:rsidR="001916B1" w:rsidRPr="008633B8">
        <w:rPr>
          <w:sz w:val="28"/>
          <w:szCs w:val="28"/>
        </w:rPr>
        <w:t xml:space="preserve"> </w:t>
      </w:r>
      <w:r w:rsidR="001916B1" w:rsidRPr="00961BA6">
        <w:rPr>
          <w:sz w:val="28"/>
          <w:szCs w:val="28"/>
        </w:rPr>
        <w:t xml:space="preserve">решения об одобрении предоставления финансирования для реализации проекта и согласовании вида и </w:t>
      </w:r>
      <w:r w:rsidR="001916B1" w:rsidRPr="00961BA6">
        <w:rPr>
          <w:sz w:val="28"/>
          <w:szCs w:val="28"/>
        </w:rPr>
        <w:lastRenderedPageBreak/>
        <w:t>объема (с учетом применяемых дисконтов) Обеспечения</w:t>
      </w:r>
      <w:r w:rsidR="00C8639B" w:rsidRPr="00961BA6">
        <w:rPr>
          <w:sz w:val="28"/>
          <w:szCs w:val="28"/>
        </w:rPr>
        <w:t xml:space="preserve"> </w:t>
      </w:r>
      <w:r w:rsidR="009F0EA5" w:rsidRPr="008633B8">
        <w:rPr>
          <w:sz w:val="28"/>
          <w:szCs w:val="28"/>
        </w:rPr>
        <w:t>Фонд осуществляет дальнейшие действия в порядке, предусмотренном Стандартом Фонда № СФ-И-242.</w:t>
      </w:r>
    </w:p>
    <w:p w14:paraId="4DE5A2C4" w14:textId="20962654" w:rsidR="00E427F2" w:rsidRPr="00961BA6" w:rsidRDefault="00852D32" w:rsidP="00E427F2">
      <w:pPr>
        <w:pStyle w:val="20"/>
        <w:tabs>
          <w:tab w:val="left" w:pos="1134"/>
          <w:tab w:val="left" w:pos="1560"/>
        </w:tabs>
        <w:ind w:left="0" w:firstLine="709"/>
        <w:rPr>
          <w:sz w:val="28"/>
          <w:szCs w:val="28"/>
        </w:rPr>
      </w:pPr>
      <w:r w:rsidRPr="00961BA6">
        <w:rPr>
          <w:sz w:val="28"/>
          <w:szCs w:val="28"/>
        </w:rPr>
        <w:t xml:space="preserve"> </w:t>
      </w:r>
      <w:r w:rsidR="001916B1" w:rsidRPr="00961BA6">
        <w:rPr>
          <w:sz w:val="28"/>
          <w:szCs w:val="28"/>
        </w:rPr>
        <w:t>В случае предоставления Обеспечения в виде недвижимого имущества Фонды в целях обеспечения регистрационных действий выдают заем до государственной регистрации залога (ипотеки) недвижимого имущества. При этом на период до завершения государственной регистрации Фонд на сумму залоговой стоимости такого Обеспечения вводит ограничение расходования средств займа.</w:t>
      </w:r>
    </w:p>
    <w:p w14:paraId="7DA216DC" w14:textId="2BC5FE9D" w:rsidR="005E7172" w:rsidRPr="00961BA6" w:rsidRDefault="00470C9E" w:rsidP="00E427F2">
      <w:pPr>
        <w:pStyle w:val="20"/>
        <w:tabs>
          <w:tab w:val="left" w:pos="1134"/>
          <w:tab w:val="left" w:pos="1560"/>
        </w:tabs>
        <w:ind w:left="0" w:firstLine="709"/>
        <w:rPr>
          <w:sz w:val="28"/>
          <w:szCs w:val="28"/>
        </w:rPr>
      </w:pPr>
      <w:r w:rsidRPr="00961BA6">
        <w:rPr>
          <w:sz w:val="28"/>
          <w:szCs w:val="28"/>
        </w:rPr>
        <w:t xml:space="preserve"> </w:t>
      </w:r>
      <w:r w:rsidR="001916B1" w:rsidRPr="00961BA6">
        <w:rPr>
          <w:sz w:val="28"/>
          <w:szCs w:val="28"/>
        </w:rPr>
        <w:t>При отказе в государственной регистрации залога (ипотеки) недвижимого имущества Заемщик обязан предложить взамен иное Обеспечение, удовлетворяющее требованиям настоящего стандарта (в редакции, действующей на момент предоставления нового Обеспечения). Если в сроки, предусмотренные пунктом 6.8 настоящего стандарта для замены Обеспечения, новое Обеспечение Заемщиком не предоставлено, Фонды осуществляют дальнейшие действия в порядке, предусмотренном Стандартом Фонда №СФ-И-100</w:t>
      </w:r>
      <w:r w:rsidR="005D7A81" w:rsidRPr="00961BA6">
        <w:rPr>
          <w:sz w:val="28"/>
          <w:szCs w:val="28"/>
          <w:u w:val="single"/>
        </w:rPr>
        <w:t xml:space="preserve"> </w:t>
      </w:r>
      <w:r w:rsidR="001916B1" w:rsidRPr="00961BA6">
        <w:rPr>
          <w:sz w:val="28"/>
          <w:szCs w:val="28"/>
        </w:rPr>
        <w:t>и Стандартом Фонда ВО № СФ-04.</w:t>
      </w:r>
    </w:p>
    <w:p w14:paraId="4E53F812" w14:textId="787DFE82" w:rsidR="00B84998" w:rsidRPr="00961BA6" w:rsidRDefault="001916B1" w:rsidP="00CE6D06">
      <w:pPr>
        <w:pStyle w:val="1"/>
        <w:numPr>
          <w:ilvl w:val="0"/>
          <w:numId w:val="6"/>
        </w:numPr>
        <w:tabs>
          <w:tab w:val="left" w:pos="426"/>
        </w:tabs>
        <w:spacing w:after="360"/>
        <w:ind w:left="499" w:firstLine="210"/>
        <w:rPr>
          <w:szCs w:val="28"/>
        </w:rPr>
      </w:pPr>
      <w:bookmarkStart w:id="9" w:name="_Toc61340744"/>
      <w:r w:rsidRPr="00961BA6">
        <w:rPr>
          <w:szCs w:val="28"/>
        </w:rPr>
        <w:t>Мониторинг состояния и управление изменением Обеспечения</w:t>
      </w:r>
      <w:bookmarkEnd w:id="9"/>
    </w:p>
    <w:p w14:paraId="0660B803" w14:textId="6DED0785" w:rsidR="004B05FB" w:rsidRPr="00961BA6" w:rsidRDefault="00EC4187" w:rsidP="004B05FB">
      <w:pPr>
        <w:pStyle w:val="20"/>
        <w:tabs>
          <w:tab w:val="left" w:pos="1134"/>
          <w:tab w:val="left" w:pos="1701"/>
        </w:tabs>
        <w:spacing w:before="0" w:after="120"/>
        <w:ind w:left="0" w:firstLine="709"/>
        <w:rPr>
          <w:sz w:val="28"/>
          <w:szCs w:val="28"/>
        </w:rPr>
      </w:pPr>
      <w:r w:rsidRPr="00961BA6">
        <w:rPr>
          <w:sz w:val="28"/>
          <w:szCs w:val="28"/>
        </w:rPr>
        <w:t xml:space="preserve"> </w:t>
      </w:r>
      <w:r w:rsidR="001916B1" w:rsidRPr="00961BA6">
        <w:rPr>
          <w:sz w:val="28"/>
          <w:szCs w:val="28"/>
        </w:rPr>
        <w:t>В течение срока действия договора займа Фонды осуществляют мониторинг состояния Обеспечения займа. Основное обеспечение подлежит мониторингу по следующим параметрам:</w:t>
      </w:r>
    </w:p>
    <w:p w14:paraId="47800D07" w14:textId="77777777" w:rsidR="004B05FB" w:rsidRPr="00961BA6"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достаточность Обеспечения на предмет соответствия требованиям пункта 3.14 настоящего стандарта;</w:t>
      </w:r>
    </w:p>
    <w:p w14:paraId="16809964" w14:textId="77777777" w:rsidR="004B05FB" w:rsidRPr="00961BA6" w:rsidRDefault="001916B1" w:rsidP="004B05FB">
      <w:pPr>
        <w:pStyle w:val="a4"/>
        <w:widowControl w:val="0"/>
        <w:numPr>
          <w:ilvl w:val="0"/>
          <w:numId w:val="4"/>
        </w:numPr>
        <w:tabs>
          <w:tab w:val="left" w:pos="993"/>
        </w:tabs>
        <w:spacing w:after="12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 xml:space="preserve">качество Обеспечения на предмет соответствия требованиям, установленным в соответствии с настоящим стандартом для соответствующего вида Обеспечения. </w:t>
      </w:r>
    </w:p>
    <w:p w14:paraId="5E894E9E" w14:textId="26C72C70" w:rsidR="004B05FB" w:rsidRPr="00961BA6" w:rsidRDefault="001916B1" w:rsidP="002A6566">
      <w:pPr>
        <w:pStyle w:val="20"/>
        <w:numPr>
          <w:ilvl w:val="0"/>
          <w:numId w:val="0"/>
        </w:numPr>
        <w:tabs>
          <w:tab w:val="left" w:pos="1134"/>
          <w:tab w:val="left" w:pos="1701"/>
        </w:tabs>
        <w:spacing w:before="0" w:after="120"/>
        <w:ind w:firstLine="709"/>
        <w:rPr>
          <w:sz w:val="28"/>
          <w:szCs w:val="28"/>
        </w:rPr>
      </w:pPr>
      <w:r w:rsidRPr="00961BA6">
        <w:rPr>
          <w:sz w:val="28"/>
          <w:szCs w:val="28"/>
        </w:rPr>
        <w:t xml:space="preserve">Мониторинг состояния </w:t>
      </w:r>
      <w:r w:rsidR="003E6F5E" w:rsidRPr="00961BA6">
        <w:rPr>
          <w:sz w:val="28"/>
          <w:szCs w:val="28"/>
        </w:rPr>
        <w:t>О</w:t>
      </w:r>
      <w:r w:rsidRPr="00961BA6">
        <w:rPr>
          <w:sz w:val="28"/>
          <w:szCs w:val="28"/>
        </w:rPr>
        <w:t xml:space="preserve">беспечения займа осуществляется </w:t>
      </w:r>
      <w:r w:rsidR="001A42C4" w:rsidRPr="00961BA6">
        <w:rPr>
          <w:sz w:val="28"/>
          <w:szCs w:val="28"/>
        </w:rPr>
        <w:t xml:space="preserve">Фондом ВО </w:t>
      </w:r>
      <w:r w:rsidRPr="00961BA6">
        <w:rPr>
          <w:sz w:val="28"/>
          <w:szCs w:val="28"/>
        </w:rPr>
        <w:t>в соответствии со Стандартом Фонда № СФ-И-100</w:t>
      </w:r>
      <w:r w:rsidR="005D7A81" w:rsidRPr="008633B8">
        <w:rPr>
          <w:sz w:val="28"/>
          <w:szCs w:val="28"/>
        </w:rPr>
        <w:t xml:space="preserve"> </w:t>
      </w:r>
      <w:r w:rsidRPr="00961BA6">
        <w:rPr>
          <w:sz w:val="28"/>
          <w:szCs w:val="28"/>
        </w:rPr>
        <w:t>и Стандартом Фонда ВО №</w:t>
      </w:r>
      <w:r w:rsidR="003E6F5E" w:rsidRPr="00961BA6">
        <w:rPr>
          <w:sz w:val="28"/>
          <w:szCs w:val="28"/>
          <w:lang w:val="en-US"/>
        </w:rPr>
        <w:t> </w:t>
      </w:r>
      <w:r w:rsidRPr="00961BA6">
        <w:rPr>
          <w:sz w:val="28"/>
          <w:szCs w:val="28"/>
        </w:rPr>
        <w:t xml:space="preserve">СФ-04, в том числе на соответствие поручителей/гарантов критериям устойчивости финансового положения, установленных в соответствии с настоящим стандартом, исполнение соответствующих договоров залога, поручительства, гарантии.  При этом применяются критерии устойчивости финансового положения поручителей/гарантов в редакции, действовавшей на момент предоставления поручительства/гарантии, либо в редакции, действующей на текущий момент. </w:t>
      </w:r>
    </w:p>
    <w:p w14:paraId="5499F391" w14:textId="43C1B981" w:rsidR="004B05FB" w:rsidRPr="00961BA6" w:rsidRDefault="002B2D60" w:rsidP="002B513C">
      <w:pPr>
        <w:pStyle w:val="20"/>
        <w:keepLines/>
        <w:tabs>
          <w:tab w:val="left" w:pos="1134"/>
          <w:tab w:val="left" w:pos="1701"/>
        </w:tabs>
        <w:spacing w:before="0" w:after="120"/>
        <w:ind w:left="0" w:firstLine="709"/>
        <w:rPr>
          <w:sz w:val="28"/>
          <w:szCs w:val="28"/>
        </w:rPr>
      </w:pPr>
      <w:r w:rsidRPr="00961BA6">
        <w:rPr>
          <w:sz w:val="28"/>
          <w:szCs w:val="28"/>
        </w:rPr>
        <w:t xml:space="preserve"> </w:t>
      </w:r>
      <w:r w:rsidR="001916B1" w:rsidRPr="00961BA6">
        <w:rPr>
          <w:sz w:val="28"/>
          <w:szCs w:val="28"/>
        </w:rPr>
        <w:t>Фонды признают риски утраты/ухудшения Обеспечения при наступлении следующих событий, могущих повлечь за собой утрату/ухудшение Обеспечения по займу:</w:t>
      </w:r>
    </w:p>
    <w:p w14:paraId="3121D84B" w14:textId="77777777" w:rsidR="00BE375E" w:rsidRPr="00961BA6"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 xml:space="preserve">предъявление исковых требований об оспаривании права собственности на имущество, принятое Фондами в залог, отчуждении такого имущества и/или </w:t>
      </w:r>
      <w:r w:rsidRPr="00961BA6">
        <w:rPr>
          <w:rFonts w:ascii="Times New Roman" w:hAnsi="Times New Roman" w:cs="Times New Roman"/>
          <w:sz w:val="28"/>
          <w:szCs w:val="28"/>
        </w:rPr>
        <w:lastRenderedPageBreak/>
        <w:t>принятие третьими лицами решений о подаче таких исков;</w:t>
      </w:r>
    </w:p>
    <w:p w14:paraId="7A738E2F" w14:textId="77777777" w:rsidR="00BE375E" w:rsidRPr="00961BA6"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ухудшение финансового положения поручителей/гарантов, вследствие чего поручитель/гарант одновременно перестает соответствовать критериям устойчивости финансового положения, установленных в соответствии с настоящим стандартом как в редакции, действовавшей на момент предоставления поручительства/гарантии, так и в редакции, действующей на текущий момент;</w:t>
      </w:r>
    </w:p>
    <w:p w14:paraId="3E229237" w14:textId="12AB27D6" w:rsidR="009C6F2A" w:rsidRPr="008633B8" w:rsidRDefault="006A001A"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8633B8">
        <w:rPr>
          <w:rFonts w:ascii="Times New Roman" w:hAnsi="Times New Roman" w:cs="Times New Roman"/>
          <w:sz w:val="28"/>
          <w:szCs w:val="28"/>
        </w:rPr>
        <w:t>принятие судом к производству заявления о признании должника банкротом в отношении залогодателей, поручителей, гарантов</w:t>
      </w:r>
      <w:r w:rsidR="001916B1" w:rsidRPr="008633B8">
        <w:rPr>
          <w:rFonts w:ascii="Times New Roman" w:hAnsi="Times New Roman" w:cs="Times New Roman"/>
          <w:sz w:val="28"/>
          <w:szCs w:val="28"/>
        </w:rPr>
        <w:t>;</w:t>
      </w:r>
    </w:p>
    <w:p w14:paraId="4F502C9C" w14:textId="77777777" w:rsidR="00D022B0" w:rsidRPr="00961BA6"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принятие уполномоченным органом решения о ликвидации юридического лица, предоставившего залог/поручительство/гарантию;</w:t>
      </w:r>
    </w:p>
    <w:p w14:paraId="51CC3456" w14:textId="799C8100" w:rsidR="00BE375E" w:rsidRPr="00961BA6"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введение временной администрации в кредитном учреждении, предоставившем гарантию</w:t>
      </w:r>
      <w:r w:rsidR="00057302" w:rsidRPr="008633B8">
        <w:rPr>
          <w:rFonts w:ascii="Times New Roman" w:hAnsi="Times New Roman" w:cs="Times New Roman"/>
          <w:sz w:val="28"/>
          <w:szCs w:val="28"/>
        </w:rPr>
        <w:t>, в соответствии с подпунктом 2 пункта 1 ст. 189.9 Закона № 127-ФЗ от 26.10.2002 «О несостоятельности (банкротстве)»</w:t>
      </w:r>
      <w:r w:rsidRPr="008633B8">
        <w:rPr>
          <w:rFonts w:ascii="Times New Roman" w:hAnsi="Times New Roman" w:cs="Times New Roman"/>
          <w:sz w:val="28"/>
          <w:szCs w:val="28"/>
        </w:rPr>
        <w:t>;</w:t>
      </w:r>
    </w:p>
    <w:p w14:paraId="2200B504" w14:textId="77777777" w:rsidR="0032066F" w:rsidRPr="00961BA6"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наступление событий, влияющих на качество и стоим</w:t>
      </w:r>
      <w:r w:rsidR="00D97272" w:rsidRPr="00961BA6">
        <w:rPr>
          <w:rFonts w:ascii="Times New Roman" w:hAnsi="Times New Roman" w:cs="Times New Roman"/>
          <w:sz w:val="28"/>
          <w:szCs w:val="28"/>
        </w:rPr>
        <w:t>ость имущества, принятого Фондами</w:t>
      </w:r>
      <w:r w:rsidRPr="00961BA6">
        <w:rPr>
          <w:rFonts w:ascii="Times New Roman" w:hAnsi="Times New Roman" w:cs="Times New Roman"/>
          <w:sz w:val="28"/>
          <w:szCs w:val="28"/>
        </w:rPr>
        <w:t xml:space="preserve"> в залог;</w:t>
      </w:r>
    </w:p>
    <w:p w14:paraId="102D11E7" w14:textId="08E1390D" w:rsidR="00BE375E" w:rsidRPr="00961BA6"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нанесение ущерба имуществу, предоставленному в залог</w:t>
      </w:r>
      <w:r w:rsidR="00057302" w:rsidRPr="00961BA6">
        <w:rPr>
          <w:rFonts w:ascii="Times New Roman" w:hAnsi="Times New Roman" w:cs="Times New Roman"/>
          <w:sz w:val="28"/>
          <w:szCs w:val="28"/>
        </w:rPr>
        <w:t xml:space="preserve"> </w:t>
      </w:r>
      <w:r w:rsidR="00057302" w:rsidRPr="008633B8">
        <w:rPr>
          <w:rFonts w:ascii="Times New Roman" w:hAnsi="Times New Roman" w:cs="Times New Roman"/>
          <w:sz w:val="28"/>
          <w:szCs w:val="28"/>
        </w:rPr>
        <w:t>(который частично или полностью не позволяет его дальнейшее использование)</w:t>
      </w:r>
      <w:r w:rsidRPr="008633B8">
        <w:rPr>
          <w:rFonts w:ascii="Times New Roman" w:hAnsi="Times New Roman" w:cs="Times New Roman"/>
          <w:sz w:val="28"/>
          <w:szCs w:val="28"/>
        </w:rPr>
        <w:t>;</w:t>
      </w:r>
    </w:p>
    <w:p w14:paraId="2C148E48" w14:textId="77777777" w:rsidR="00BE375E" w:rsidRPr="00961BA6" w:rsidRDefault="001916B1" w:rsidP="002A6566">
      <w:pPr>
        <w:pStyle w:val="a4"/>
        <w:widowControl w:val="0"/>
        <w:numPr>
          <w:ilvl w:val="0"/>
          <w:numId w:val="4"/>
        </w:numPr>
        <w:tabs>
          <w:tab w:val="left" w:pos="993"/>
        </w:tabs>
        <w:spacing w:after="12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наступление иных событий, ведущих к невозможности исполнения залогодателем/поручителем/гарантом своих договорных обязательств в полном объеме.</w:t>
      </w:r>
    </w:p>
    <w:p w14:paraId="2BA31EF3" w14:textId="070938E9" w:rsidR="001F63BF" w:rsidRPr="00961BA6" w:rsidRDefault="001916B1" w:rsidP="001F63BF">
      <w:pPr>
        <w:pStyle w:val="20"/>
        <w:numPr>
          <w:ilvl w:val="0"/>
          <w:numId w:val="0"/>
        </w:numPr>
        <w:tabs>
          <w:tab w:val="left" w:pos="1134"/>
          <w:tab w:val="left" w:pos="1701"/>
        </w:tabs>
        <w:spacing w:before="0" w:after="120"/>
        <w:ind w:firstLine="709"/>
        <w:rPr>
          <w:sz w:val="28"/>
          <w:szCs w:val="28"/>
        </w:rPr>
      </w:pPr>
      <w:r w:rsidRPr="00961BA6">
        <w:rPr>
          <w:sz w:val="28"/>
          <w:szCs w:val="28"/>
        </w:rPr>
        <w:t>Нарушение установленных требований к качеству обеспечения являются основанием для рассмотрения Фондами вопроса о наличии рисков ухудшения обеспечения в порядке, предусмотренном Стандартом Фонда № СФ-И-100</w:t>
      </w:r>
      <w:r w:rsidRPr="008633B8">
        <w:rPr>
          <w:sz w:val="28"/>
          <w:szCs w:val="28"/>
        </w:rPr>
        <w:t xml:space="preserve"> </w:t>
      </w:r>
      <w:r w:rsidRPr="00961BA6">
        <w:rPr>
          <w:sz w:val="28"/>
          <w:szCs w:val="28"/>
        </w:rPr>
        <w:t xml:space="preserve">и Стандартом Фонда ВО № СФ-04. </w:t>
      </w:r>
    </w:p>
    <w:p w14:paraId="2BE70BFF" w14:textId="10CC1B3B" w:rsidR="00134286" w:rsidRPr="00961BA6" w:rsidRDefault="00CF434E" w:rsidP="0032066F">
      <w:pPr>
        <w:pStyle w:val="20"/>
        <w:keepNext/>
        <w:tabs>
          <w:tab w:val="left" w:pos="1134"/>
          <w:tab w:val="left" w:pos="1701"/>
        </w:tabs>
        <w:spacing w:after="120"/>
        <w:ind w:left="0" w:firstLine="709"/>
        <w:rPr>
          <w:sz w:val="28"/>
          <w:szCs w:val="28"/>
        </w:rPr>
      </w:pPr>
      <w:r w:rsidRPr="00961BA6">
        <w:rPr>
          <w:sz w:val="28"/>
          <w:szCs w:val="28"/>
        </w:rPr>
        <w:t xml:space="preserve"> </w:t>
      </w:r>
      <w:r w:rsidR="001916B1" w:rsidRPr="00961BA6">
        <w:rPr>
          <w:sz w:val="28"/>
          <w:szCs w:val="28"/>
        </w:rPr>
        <w:t>Под утратой Основного обеспечения для целей настоящего стандарта понимается наступление следующих событий (обстоятельств):</w:t>
      </w:r>
    </w:p>
    <w:p w14:paraId="59C4068F" w14:textId="77777777" w:rsidR="007E5852" w:rsidRPr="00961BA6" w:rsidRDefault="001916B1" w:rsidP="00292248">
      <w:pPr>
        <w:pStyle w:val="a4"/>
        <w:widowControl w:val="0"/>
        <w:numPr>
          <w:ilvl w:val="0"/>
          <w:numId w:val="4"/>
        </w:numPr>
        <w:tabs>
          <w:tab w:val="left" w:pos="1134"/>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 xml:space="preserve">гибель (утрата) имущества, предоставленного в залог; </w:t>
      </w:r>
    </w:p>
    <w:p w14:paraId="503C7C62" w14:textId="77777777" w:rsidR="0032066F" w:rsidRPr="00961BA6" w:rsidRDefault="001916B1" w:rsidP="00292248">
      <w:pPr>
        <w:pStyle w:val="20"/>
        <w:numPr>
          <w:ilvl w:val="0"/>
          <w:numId w:val="14"/>
        </w:numPr>
        <w:tabs>
          <w:tab w:val="left" w:pos="1134"/>
          <w:tab w:val="left" w:pos="1701"/>
        </w:tabs>
        <w:spacing w:before="0"/>
        <w:ind w:left="0" w:firstLine="709"/>
        <w:rPr>
          <w:sz w:val="28"/>
          <w:szCs w:val="28"/>
        </w:rPr>
      </w:pPr>
      <w:r w:rsidRPr="00961BA6">
        <w:rPr>
          <w:sz w:val="28"/>
          <w:szCs w:val="28"/>
        </w:rPr>
        <w:t>введение процедур банкротства в отношении залогодателя/поручителя/гаранта;</w:t>
      </w:r>
    </w:p>
    <w:p w14:paraId="3B7C8CAD" w14:textId="77777777" w:rsidR="009C6F2A" w:rsidRPr="00961BA6" w:rsidRDefault="001916B1" w:rsidP="00292248">
      <w:pPr>
        <w:pStyle w:val="20"/>
        <w:numPr>
          <w:ilvl w:val="0"/>
          <w:numId w:val="14"/>
        </w:numPr>
        <w:tabs>
          <w:tab w:val="left" w:pos="1134"/>
          <w:tab w:val="left" w:pos="1701"/>
        </w:tabs>
        <w:spacing w:before="0"/>
        <w:ind w:left="0" w:firstLine="709"/>
        <w:rPr>
          <w:sz w:val="28"/>
          <w:szCs w:val="28"/>
        </w:rPr>
      </w:pPr>
      <w:r w:rsidRPr="00961BA6">
        <w:rPr>
          <w:sz w:val="28"/>
          <w:szCs w:val="28"/>
        </w:rPr>
        <w:t>ликвидация юридического лица, предоставившего залог/поручительство/гарантию;</w:t>
      </w:r>
    </w:p>
    <w:p w14:paraId="342D90DB" w14:textId="77777777" w:rsidR="00C24BC9" w:rsidRPr="00961BA6" w:rsidRDefault="001916B1" w:rsidP="00292248">
      <w:pPr>
        <w:pStyle w:val="20"/>
        <w:numPr>
          <w:ilvl w:val="0"/>
          <w:numId w:val="14"/>
        </w:numPr>
        <w:tabs>
          <w:tab w:val="left" w:pos="1134"/>
          <w:tab w:val="left" w:pos="1701"/>
        </w:tabs>
        <w:spacing w:before="0" w:after="120"/>
        <w:ind w:left="0" w:firstLine="709"/>
        <w:rPr>
          <w:sz w:val="28"/>
          <w:szCs w:val="28"/>
        </w:rPr>
      </w:pPr>
      <w:r w:rsidRPr="00961BA6">
        <w:rPr>
          <w:sz w:val="28"/>
          <w:szCs w:val="28"/>
        </w:rPr>
        <w:t>отзыв лицензии на осуществление банковской деятельности у кредитной организации, предоставившей независимую гарантию.</w:t>
      </w:r>
    </w:p>
    <w:p w14:paraId="531AEA63" w14:textId="292AD744" w:rsidR="004B05FB" w:rsidRPr="00961BA6" w:rsidRDefault="00CF434E" w:rsidP="004B05FB">
      <w:pPr>
        <w:pStyle w:val="20"/>
        <w:keepNext/>
        <w:tabs>
          <w:tab w:val="left" w:pos="1134"/>
          <w:tab w:val="left" w:pos="1701"/>
        </w:tabs>
        <w:spacing w:after="120"/>
        <w:ind w:left="0" w:firstLine="709"/>
        <w:rPr>
          <w:sz w:val="28"/>
          <w:szCs w:val="28"/>
        </w:rPr>
      </w:pPr>
      <w:r w:rsidRPr="00961BA6">
        <w:rPr>
          <w:sz w:val="28"/>
          <w:szCs w:val="28"/>
        </w:rPr>
        <w:t xml:space="preserve"> </w:t>
      </w:r>
      <w:r w:rsidR="001916B1" w:rsidRPr="00961BA6">
        <w:rPr>
          <w:sz w:val="28"/>
          <w:szCs w:val="28"/>
        </w:rPr>
        <w:t>Фондами не признаются утратой обеспечения наступление следующих событий:</w:t>
      </w:r>
    </w:p>
    <w:p w14:paraId="4A9EC715" w14:textId="77777777" w:rsidR="00FE3382" w:rsidRPr="00961BA6" w:rsidRDefault="001916B1" w:rsidP="004A4A58">
      <w:pPr>
        <w:pStyle w:val="20"/>
        <w:numPr>
          <w:ilvl w:val="0"/>
          <w:numId w:val="14"/>
        </w:numPr>
        <w:tabs>
          <w:tab w:val="left" w:pos="1134"/>
          <w:tab w:val="left" w:pos="1701"/>
        </w:tabs>
        <w:spacing w:before="0"/>
        <w:ind w:left="0" w:firstLine="709"/>
        <w:rPr>
          <w:sz w:val="28"/>
          <w:szCs w:val="28"/>
        </w:rPr>
      </w:pPr>
      <w:r w:rsidRPr="00961BA6">
        <w:rPr>
          <w:sz w:val="28"/>
          <w:szCs w:val="28"/>
        </w:rPr>
        <w:t>принятие к кредитной организации мер по предупреждению банкротства кредитных организаций, предусмотренных подпунктами 1, 3, 4 пункта 1 статьи 189</w:t>
      </w:r>
      <w:r w:rsidRPr="00961BA6">
        <w:rPr>
          <w:sz w:val="28"/>
          <w:szCs w:val="28"/>
          <w:vertAlign w:val="superscript"/>
        </w:rPr>
        <w:t>9</w:t>
      </w:r>
      <w:r w:rsidRPr="00961BA6">
        <w:rPr>
          <w:sz w:val="28"/>
          <w:szCs w:val="28"/>
        </w:rPr>
        <w:t xml:space="preserve"> Федерального закона № 127-ФЗ от 26.10.2002 </w:t>
      </w:r>
      <w:r w:rsidR="00CE6D06" w:rsidRPr="00961BA6">
        <w:rPr>
          <w:sz w:val="28"/>
          <w:szCs w:val="28"/>
        </w:rPr>
        <w:t>«</w:t>
      </w:r>
      <w:r w:rsidRPr="00961BA6">
        <w:rPr>
          <w:sz w:val="28"/>
          <w:szCs w:val="28"/>
        </w:rPr>
        <w:t>О несостоятельности (банкротстве)</w:t>
      </w:r>
      <w:r w:rsidR="00CE6D06" w:rsidRPr="00961BA6">
        <w:rPr>
          <w:sz w:val="28"/>
          <w:szCs w:val="28"/>
        </w:rPr>
        <w:t>»</w:t>
      </w:r>
      <w:r w:rsidRPr="00961BA6">
        <w:rPr>
          <w:sz w:val="28"/>
          <w:szCs w:val="28"/>
        </w:rPr>
        <w:t>;</w:t>
      </w:r>
    </w:p>
    <w:p w14:paraId="484858C7" w14:textId="77777777" w:rsidR="00FE3382" w:rsidRPr="00961BA6" w:rsidRDefault="001916B1" w:rsidP="007F0413">
      <w:pPr>
        <w:pStyle w:val="20"/>
        <w:numPr>
          <w:ilvl w:val="0"/>
          <w:numId w:val="14"/>
        </w:numPr>
        <w:tabs>
          <w:tab w:val="left" w:pos="1134"/>
          <w:tab w:val="left" w:pos="1701"/>
        </w:tabs>
        <w:spacing w:before="0" w:after="120"/>
        <w:ind w:left="0" w:firstLine="709"/>
        <w:rPr>
          <w:sz w:val="28"/>
          <w:szCs w:val="28"/>
        </w:rPr>
      </w:pPr>
      <w:r w:rsidRPr="00961BA6">
        <w:rPr>
          <w:sz w:val="28"/>
          <w:szCs w:val="28"/>
        </w:rPr>
        <w:t xml:space="preserve">факт исключения (после выдачи Фондами займа) банка-гаранта из утверждаемого Фондом перечня кредитных организаций, гарантии которых </w:t>
      </w:r>
      <w:r w:rsidRPr="00961BA6">
        <w:rPr>
          <w:sz w:val="28"/>
          <w:szCs w:val="28"/>
        </w:rPr>
        <w:lastRenderedPageBreak/>
        <w:t xml:space="preserve">могут быть рассмотрены в качестве основного обеспечения по займам. </w:t>
      </w:r>
    </w:p>
    <w:p w14:paraId="1A82B691" w14:textId="7A6614F8" w:rsidR="00C91126" w:rsidRPr="00961BA6" w:rsidRDefault="009D602C" w:rsidP="009F0322">
      <w:pPr>
        <w:pStyle w:val="20"/>
        <w:keepNext/>
        <w:tabs>
          <w:tab w:val="left" w:pos="1134"/>
          <w:tab w:val="left" w:pos="1701"/>
        </w:tabs>
        <w:spacing w:after="120"/>
        <w:ind w:left="0" w:firstLine="709"/>
        <w:rPr>
          <w:sz w:val="28"/>
          <w:szCs w:val="28"/>
        </w:rPr>
      </w:pPr>
      <w:r w:rsidRPr="00961BA6">
        <w:rPr>
          <w:sz w:val="28"/>
          <w:szCs w:val="28"/>
        </w:rPr>
        <w:t xml:space="preserve"> </w:t>
      </w:r>
      <w:r w:rsidR="001916B1" w:rsidRPr="00961BA6">
        <w:rPr>
          <w:sz w:val="28"/>
          <w:szCs w:val="28"/>
        </w:rPr>
        <w:t>Под ухудшением Обеспечения для целей настоящего стандарта понимается наступившие вследствие реализации факторов, перечисленных в пункте 6.2 настоящего стандарта:</w:t>
      </w:r>
    </w:p>
    <w:p w14:paraId="23A29E36" w14:textId="77777777" w:rsidR="009F0322" w:rsidRPr="00961BA6"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961BA6">
        <w:rPr>
          <w:rFonts w:ascii="Times New Roman" w:hAnsi="Times New Roman" w:cs="Times New Roman"/>
          <w:sz w:val="28"/>
          <w:szCs w:val="28"/>
        </w:rPr>
        <w:t>невозможность исполнения поручителем/гарантом в полном объеме своих договорных обязательств;</w:t>
      </w:r>
    </w:p>
    <w:p w14:paraId="309C46AC" w14:textId="77777777" w:rsidR="00C91126" w:rsidRPr="00961BA6" w:rsidRDefault="001916B1" w:rsidP="0026605D">
      <w:pPr>
        <w:pStyle w:val="20"/>
        <w:numPr>
          <w:ilvl w:val="0"/>
          <w:numId w:val="14"/>
        </w:numPr>
        <w:tabs>
          <w:tab w:val="left" w:pos="993"/>
          <w:tab w:val="left" w:pos="1701"/>
        </w:tabs>
        <w:spacing w:before="0" w:after="120"/>
        <w:ind w:left="0" w:firstLine="709"/>
        <w:rPr>
          <w:sz w:val="28"/>
          <w:szCs w:val="28"/>
        </w:rPr>
      </w:pPr>
      <w:r w:rsidRPr="00961BA6">
        <w:rPr>
          <w:sz w:val="28"/>
          <w:szCs w:val="28"/>
        </w:rPr>
        <w:t>снижение (суммарно) залоговой стоимости предмета залога с учетом применяемых дисконтов ниже размера текущей задолженности Заемщика (с учетом подлежащих уплате за пользование займом процентов).</w:t>
      </w:r>
    </w:p>
    <w:p w14:paraId="76501224" w14:textId="4CF88FDE" w:rsidR="00FE3382" w:rsidRPr="00961BA6" w:rsidRDefault="009D602C" w:rsidP="00FE3382">
      <w:pPr>
        <w:pStyle w:val="20"/>
        <w:tabs>
          <w:tab w:val="left" w:pos="1134"/>
          <w:tab w:val="left" w:pos="1701"/>
        </w:tabs>
        <w:spacing w:before="0" w:after="120"/>
        <w:ind w:left="0" w:firstLine="709"/>
        <w:rPr>
          <w:sz w:val="28"/>
          <w:szCs w:val="28"/>
        </w:rPr>
      </w:pPr>
      <w:r w:rsidRPr="00961BA6">
        <w:rPr>
          <w:sz w:val="28"/>
          <w:szCs w:val="28"/>
        </w:rPr>
        <w:t xml:space="preserve"> </w:t>
      </w:r>
      <w:r w:rsidR="001916B1" w:rsidRPr="00961BA6">
        <w:rPr>
          <w:sz w:val="28"/>
          <w:szCs w:val="28"/>
        </w:rPr>
        <w:t>Фонд</w:t>
      </w:r>
      <w:r w:rsidR="006F6D94" w:rsidRPr="00961BA6">
        <w:rPr>
          <w:sz w:val="28"/>
          <w:szCs w:val="28"/>
        </w:rPr>
        <w:t>ы</w:t>
      </w:r>
      <w:r w:rsidR="001916B1" w:rsidRPr="00961BA6">
        <w:rPr>
          <w:sz w:val="28"/>
          <w:szCs w:val="28"/>
        </w:rPr>
        <w:t xml:space="preserve"> при выявлении наступления событий (обстоятельств), указанных в пунктах 6.2-6.4 настоящего стандарта, осуществляет действия, предусмотренные Стандартом Фонда № СФ-И-100</w:t>
      </w:r>
      <w:r w:rsidR="00F75C20" w:rsidRPr="008633B8">
        <w:rPr>
          <w:sz w:val="28"/>
          <w:szCs w:val="28"/>
        </w:rPr>
        <w:t xml:space="preserve"> </w:t>
      </w:r>
      <w:r w:rsidR="001916B1" w:rsidRPr="00961BA6">
        <w:rPr>
          <w:sz w:val="28"/>
          <w:szCs w:val="28"/>
        </w:rPr>
        <w:t>и Стандартом Фонда ВО № СФ-04</w:t>
      </w:r>
      <w:r w:rsidR="00556B61" w:rsidRPr="00961BA6">
        <w:rPr>
          <w:sz w:val="28"/>
          <w:szCs w:val="28"/>
        </w:rPr>
        <w:t xml:space="preserve"> </w:t>
      </w:r>
      <w:r w:rsidR="001916B1" w:rsidRPr="00961BA6">
        <w:rPr>
          <w:sz w:val="28"/>
          <w:szCs w:val="28"/>
        </w:rPr>
        <w:t>и пунктами 6.7-6.9 настоящего стандарта.</w:t>
      </w:r>
    </w:p>
    <w:p w14:paraId="78D4F13A" w14:textId="74FB9AFC" w:rsidR="001B6B16" w:rsidRPr="00961BA6" w:rsidRDefault="00D06953" w:rsidP="00421919">
      <w:pPr>
        <w:pStyle w:val="20"/>
        <w:tabs>
          <w:tab w:val="left" w:pos="1134"/>
          <w:tab w:val="left" w:pos="1701"/>
        </w:tabs>
        <w:spacing w:before="0" w:after="120"/>
        <w:ind w:left="0" w:firstLine="709"/>
        <w:rPr>
          <w:sz w:val="28"/>
          <w:szCs w:val="28"/>
        </w:rPr>
      </w:pPr>
      <w:r w:rsidRPr="00961BA6">
        <w:rPr>
          <w:sz w:val="28"/>
          <w:szCs w:val="28"/>
        </w:rPr>
        <w:t xml:space="preserve"> </w:t>
      </w:r>
      <w:r w:rsidR="001916B1" w:rsidRPr="00961BA6">
        <w:rPr>
          <w:sz w:val="28"/>
          <w:szCs w:val="28"/>
        </w:rPr>
        <w:t>В случае утраты Основного обеспечения, а также в случае, если Фондами в порядке, предусмотренном Стандартом Фонда № СФ-И-100</w:t>
      </w:r>
      <w:r w:rsidR="00F75C20" w:rsidRPr="008633B8">
        <w:rPr>
          <w:sz w:val="28"/>
          <w:szCs w:val="28"/>
        </w:rPr>
        <w:t xml:space="preserve"> </w:t>
      </w:r>
      <w:r w:rsidR="001916B1" w:rsidRPr="00961BA6">
        <w:rPr>
          <w:sz w:val="28"/>
          <w:szCs w:val="28"/>
        </w:rPr>
        <w:t>и Стандартом Фонда ВО № СФ-04, риски ухудшения Основного обеспечения признаны высокими, Фонды предъявляют Заемщику требования о его замене и (или) о предоставлении помимо имеющегося другого Обеспечения. Заемщик обязан течение 10 (десяти)</w:t>
      </w:r>
      <w:r w:rsidR="00155CE9" w:rsidRPr="00961BA6">
        <w:rPr>
          <w:sz w:val="28"/>
          <w:szCs w:val="28"/>
        </w:rPr>
        <w:t xml:space="preserve"> </w:t>
      </w:r>
      <w:r w:rsidR="001916B1" w:rsidRPr="00961BA6">
        <w:rPr>
          <w:sz w:val="28"/>
          <w:szCs w:val="28"/>
        </w:rPr>
        <w:t>рабочих дней с момента предъявления такого требования предложить иное Обеспечение, удовлетворяющее требованиям стандартов Фондов (в редакции, действующей на момент предоставления нового Обеспечения).</w:t>
      </w:r>
    </w:p>
    <w:p w14:paraId="1C372B8B" w14:textId="07E296C4" w:rsidR="00ED2784" w:rsidRPr="00961BA6" w:rsidRDefault="0088745D" w:rsidP="00371B2A">
      <w:pPr>
        <w:pStyle w:val="20"/>
        <w:tabs>
          <w:tab w:val="left" w:pos="1134"/>
          <w:tab w:val="left" w:pos="1701"/>
        </w:tabs>
        <w:spacing w:before="0" w:after="120"/>
        <w:ind w:left="0" w:firstLine="709"/>
        <w:rPr>
          <w:sz w:val="28"/>
          <w:szCs w:val="28"/>
        </w:rPr>
      </w:pPr>
      <w:r w:rsidRPr="00961BA6">
        <w:rPr>
          <w:sz w:val="28"/>
          <w:szCs w:val="28"/>
        </w:rPr>
        <w:t xml:space="preserve"> </w:t>
      </w:r>
      <w:r w:rsidR="001916B1" w:rsidRPr="00961BA6">
        <w:rPr>
          <w:sz w:val="28"/>
          <w:szCs w:val="28"/>
        </w:rPr>
        <w:t>Фонды принимают предложенное Заемщиком взамен утраченного/ухудшившегося и (или) дополнительно к ухудшившемуся Основному обеспечению новое Обеспечение на основании проведенных Фондом экспертиз и оценки, при условии подтверждения его соответствия требованиям настоящего стандарта (в редакции, действующей на момент предоставления нового Обеспечения).</w:t>
      </w:r>
      <w:r w:rsidR="00155CE9" w:rsidRPr="00961BA6">
        <w:rPr>
          <w:sz w:val="28"/>
          <w:szCs w:val="28"/>
        </w:rPr>
        <w:t xml:space="preserve"> </w:t>
      </w:r>
      <w:r w:rsidR="001916B1" w:rsidRPr="00961BA6">
        <w:rPr>
          <w:sz w:val="28"/>
          <w:szCs w:val="28"/>
        </w:rPr>
        <w:t>При этом к ранее принятому Основному обеспечению, которое не выводится из залога, применяются требования настоящего стандарта и требования к качеству обеспечения в редакции, действовавшей на момент принятия данного Обеспечения, либо (с согласия Заемщика) в редакции, действующей на момент предоставления нового Обеспечения.</w:t>
      </w:r>
    </w:p>
    <w:p w14:paraId="0B8E3583" w14:textId="77777777" w:rsidR="00ED2784" w:rsidRPr="00961BA6" w:rsidRDefault="001916B1" w:rsidP="00ED2784">
      <w:pPr>
        <w:pStyle w:val="20"/>
        <w:numPr>
          <w:ilvl w:val="0"/>
          <w:numId w:val="0"/>
        </w:numPr>
        <w:tabs>
          <w:tab w:val="left" w:pos="1134"/>
          <w:tab w:val="left" w:pos="1701"/>
        </w:tabs>
        <w:spacing w:before="0" w:after="120"/>
        <w:ind w:firstLine="709"/>
        <w:rPr>
          <w:sz w:val="28"/>
          <w:szCs w:val="28"/>
        </w:rPr>
      </w:pPr>
      <w:r w:rsidRPr="00961BA6">
        <w:rPr>
          <w:sz w:val="28"/>
          <w:szCs w:val="28"/>
        </w:rPr>
        <w:t>Срок замены (предоставления помимо имеющегося) Основного обеспечения (заключения соответствующего договора) не может превышать 60 (шестидесяти) календарных дней с момента предъявления требования Фондами о замене Основного обеспечения (без учета времени, необходимого для регистрации залога).</w:t>
      </w:r>
    </w:p>
    <w:p w14:paraId="69A7970A" w14:textId="78EA7769" w:rsidR="0019622E" w:rsidRPr="00961BA6" w:rsidRDefault="00BC4620" w:rsidP="00ED2784">
      <w:pPr>
        <w:pStyle w:val="20"/>
        <w:tabs>
          <w:tab w:val="left" w:pos="1134"/>
          <w:tab w:val="left" w:pos="1701"/>
        </w:tabs>
        <w:spacing w:before="0" w:after="120"/>
        <w:ind w:left="0" w:firstLine="709"/>
        <w:rPr>
          <w:sz w:val="28"/>
          <w:szCs w:val="28"/>
        </w:rPr>
      </w:pPr>
      <w:r w:rsidRPr="00961BA6">
        <w:rPr>
          <w:sz w:val="28"/>
          <w:szCs w:val="28"/>
        </w:rPr>
        <w:t xml:space="preserve"> </w:t>
      </w:r>
      <w:r w:rsidR="001916B1" w:rsidRPr="00961BA6">
        <w:rPr>
          <w:sz w:val="28"/>
          <w:szCs w:val="28"/>
        </w:rPr>
        <w:t xml:space="preserve">В случае не достижения сторонами по договору займа согласия по факту ухудшения состояния обеспечения, </w:t>
      </w:r>
      <w:r w:rsidR="006F7952" w:rsidRPr="00961BA6">
        <w:rPr>
          <w:sz w:val="28"/>
          <w:szCs w:val="28"/>
        </w:rPr>
        <w:t xml:space="preserve">Фонды за свой счет привлекают оценочную компанию для определения рыночной стоимости залога в соответствии с пунктами 3.16 - 3.17 настоящего </w:t>
      </w:r>
      <w:r w:rsidR="00961BA6" w:rsidRPr="00961BA6">
        <w:rPr>
          <w:sz w:val="28"/>
          <w:szCs w:val="28"/>
        </w:rPr>
        <w:t>С</w:t>
      </w:r>
      <w:r w:rsidR="006F7952" w:rsidRPr="00961BA6">
        <w:rPr>
          <w:sz w:val="28"/>
          <w:szCs w:val="28"/>
        </w:rPr>
        <w:t>тандарта</w:t>
      </w:r>
      <w:r w:rsidR="001916B1" w:rsidRPr="00961BA6">
        <w:rPr>
          <w:sz w:val="28"/>
          <w:szCs w:val="28"/>
        </w:rPr>
        <w:t xml:space="preserve">.  </w:t>
      </w:r>
    </w:p>
    <w:p w14:paraId="74C5B982" w14:textId="77777777" w:rsidR="0026605D" w:rsidRPr="00961BA6" w:rsidRDefault="001916B1" w:rsidP="00ED2784">
      <w:pPr>
        <w:pStyle w:val="20"/>
        <w:tabs>
          <w:tab w:val="left" w:pos="1134"/>
          <w:tab w:val="left" w:pos="1701"/>
        </w:tabs>
        <w:spacing w:before="0" w:after="120"/>
        <w:ind w:left="0" w:firstLine="709"/>
        <w:rPr>
          <w:sz w:val="28"/>
          <w:szCs w:val="28"/>
        </w:rPr>
      </w:pPr>
      <w:r w:rsidRPr="00961BA6">
        <w:rPr>
          <w:sz w:val="28"/>
          <w:szCs w:val="28"/>
        </w:rPr>
        <w:lastRenderedPageBreak/>
        <w:t>В течение срока действия договора займа Заемщик вправе</w:t>
      </w:r>
      <w:r w:rsidR="0026605D" w:rsidRPr="00961BA6">
        <w:rPr>
          <w:sz w:val="28"/>
          <w:szCs w:val="28"/>
          <w:u w:val="single"/>
        </w:rPr>
        <w:t>:</w:t>
      </w:r>
    </w:p>
    <w:p w14:paraId="5D5A3A2A" w14:textId="0B4264A2" w:rsidR="00ED2784" w:rsidRPr="00961BA6" w:rsidRDefault="001916B1" w:rsidP="0026605D">
      <w:pPr>
        <w:pStyle w:val="20"/>
        <w:numPr>
          <w:ilvl w:val="0"/>
          <w:numId w:val="14"/>
        </w:numPr>
        <w:tabs>
          <w:tab w:val="left" w:pos="993"/>
          <w:tab w:val="left" w:pos="1701"/>
        </w:tabs>
        <w:spacing w:before="0" w:after="120"/>
        <w:ind w:left="0" w:firstLine="709"/>
        <w:rPr>
          <w:sz w:val="28"/>
          <w:szCs w:val="28"/>
        </w:rPr>
      </w:pPr>
      <w:r w:rsidRPr="00961BA6">
        <w:rPr>
          <w:rFonts w:eastAsiaTheme="minorHAnsi"/>
          <w:sz w:val="28"/>
          <w:szCs w:val="28"/>
          <w:lang w:eastAsia="en-US"/>
        </w:rPr>
        <w:t>предложить Фондам иное Обеспечение</w:t>
      </w:r>
      <w:r w:rsidR="00C33FE0" w:rsidRPr="00961BA6">
        <w:rPr>
          <w:rFonts w:eastAsiaTheme="minorHAnsi"/>
          <w:sz w:val="28"/>
          <w:szCs w:val="28"/>
          <w:lang w:eastAsia="en-US"/>
        </w:rPr>
        <w:t xml:space="preserve"> </w:t>
      </w:r>
      <w:r w:rsidR="00C33FE0" w:rsidRPr="008633B8">
        <w:rPr>
          <w:rFonts w:eastAsiaTheme="minorHAnsi"/>
          <w:sz w:val="28"/>
          <w:szCs w:val="28"/>
          <w:lang w:eastAsia="en-US"/>
        </w:rPr>
        <w:t>(не предусмотренное основными условиями займа)</w:t>
      </w:r>
      <w:r w:rsidRPr="008633B8">
        <w:rPr>
          <w:rFonts w:eastAsiaTheme="minorHAnsi"/>
          <w:sz w:val="28"/>
          <w:szCs w:val="28"/>
          <w:lang w:eastAsia="en-US"/>
        </w:rPr>
        <w:t>,</w:t>
      </w:r>
      <w:r w:rsidRPr="00961BA6">
        <w:rPr>
          <w:rFonts w:eastAsiaTheme="minorHAnsi"/>
          <w:sz w:val="28"/>
          <w:szCs w:val="28"/>
          <w:lang w:eastAsia="en-US"/>
        </w:rPr>
        <w:t xml:space="preserve"> соответствующее требованиям настоящего </w:t>
      </w:r>
      <w:r w:rsidR="00961BA6" w:rsidRPr="00961BA6">
        <w:rPr>
          <w:rFonts w:eastAsiaTheme="minorHAnsi"/>
          <w:sz w:val="28"/>
          <w:szCs w:val="28"/>
          <w:lang w:eastAsia="en-US"/>
        </w:rPr>
        <w:t>С</w:t>
      </w:r>
      <w:r w:rsidRPr="00961BA6">
        <w:rPr>
          <w:rFonts w:eastAsiaTheme="minorHAnsi"/>
          <w:sz w:val="28"/>
          <w:szCs w:val="28"/>
          <w:lang w:eastAsia="en-US"/>
        </w:rPr>
        <w:t>тандарта (в редакции, действующей на момент предоставления нового Обеспечения)</w:t>
      </w:r>
      <w:r w:rsidR="00BD1D20" w:rsidRPr="00961BA6">
        <w:rPr>
          <w:rFonts w:eastAsiaTheme="minorHAnsi"/>
          <w:sz w:val="28"/>
          <w:szCs w:val="28"/>
          <w:lang w:eastAsia="en-US"/>
        </w:rPr>
        <w:t>;</w:t>
      </w:r>
    </w:p>
    <w:p w14:paraId="66B1B3CC" w14:textId="3E3E4AC0" w:rsidR="00BD1D20" w:rsidRPr="008633B8" w:rsidRDefault="00BD1D20" w:rsidP="0026605D">
      <w:pPr>
        <w:pStyle w:val="20"/>
        <w:numPr>
          <w:ilvl w:val="0"/>
          <w:numId w:val="14"/>
        </w:numPr>
        <w:tabs>
          <w:tab w:val="left" w:pos="993"/>
          <w:tab w:val="left" w:pos="1701"/>
        </w:tabs>
        <w:spacing w:before="0" w:after="120"/>
        <w:ind w:left="0" w:firstLine="709"/>
        <w:rPr>
          <w:sz w:val="28"/>
          <w:szCs w:val="28"/>
        </w:rPr>
      </w:pPr>
      <w:r w:rsidRPr="008633B8">
        <w:rPr>
          <w:spacing w:val="9"/>
          <w:sz w:val="28"/>
          <w:szCs w:val="28"/>
          <w:shd w:val="clear" w:color="auto" w:fill="FFFFFF"/>
        </w:rPr>
        <w:t>вывести, частично или полностью, переданное в качестве обеспечения по проекту имущество (в т.ч. его части);</w:t>
      </w:r>
    </w:p>
    <w:p w14:paraId="76C66AF5" w14:textId="5FD71093" w:rsidR="00BD1D20" w:rsidRPr="008633B8" w:rsidRDefault="007E14A6" w:rsidP="0026605D">
      <w:pPr>
        <w:pStyle w:val="20"/>
        <w:numPr>
          <w:ilvl w:val="0"/>
          <w:numId w:val="14"/>
        </w:numPr>
        <w:tabs>
          <w:tab w:val="left" w:pos="993"/>
          <w:tab w:val="left" w:pos="1701"/>
        </w:tabs>
        <w:spacing w:before="0" w:after="120"/>
        <w:ind w:left="0" w:firstLine="709"/>
        <w:rPr>
          <w:sz w:val="28"/>
          <w:szCs w:val="28"/>
        </w:rPr>
      </w:pPr>
      <w:r w:rsidRPr="008633B8">
        <w:rPr>
          <w:spacing w:val="9"/>
          <w:sz w:val="28"/>
          <w:szCs w:val="28"/>
          <w:shd w:val="clear" w:color="auto" w:fill="FFFFFF"/>
        </w:rPr>
        <w:t>производить действия, связанные с изменениями основных характеристик переданного в качестве залогового обеспечения имущества (таких как: модернизация движимого имущества, проведение межевания земельных участков, реконструкция объектов капитального строительства (связанная с изменением основных характеристик и подлежащая регистрации в Росреестре) и т.п.).</w:t>
      </w:r>
    </w:p>
    <w:p w14:paraId="4616FA80" w14:textId="3B4DE53F" w:rsidR="00F160B4" w:rsidRPr="008633B8" w:rsidRDefault="00F160B4" w:rsidP="00C015C5">
      <w:pPr>
        <w:pStyle w:val="20"/>
        <w:numPr>
          <w:ilvl w:val="0"/>
          <w:numId w:val="0"/>
        </w:numPr>
        <w:tabs>
          <w:tab w:val="left" w:pos="1134"/>
          <w:tab w:val="left" w:pos="1701"/>
        </w:tabs>
        <w:spacing w:before="0" w:after="120"/>
        <w:ind w:firstLine="709"/>
        <w:rPr>
          <w:sz w:val="28"/>
          <w:szCs w:val="28"/>
        </w:rPr>
      </w:pPr>
      <w:r w:rsidRPr="008633B8">
        <w:rPr>
          <w:sz w:val="28"/>
          <w:szCs w:val="28"/>
        </w:rPr>
        <w:t xml:space="preserve">Проведение вышеуказанных действий влечет за собой необходимость проведения переоценки, в соответствии с пунктами 3.16 - 3.17 настоящего </w:t>
      </w:r>
      <w:r w:rsidR="00431978" w:rsidRPr="008633B8">
        <w:rPr>
          <w:sz w:val="28"/>
          <w:szCs w:val="28"/>
        </w:rPr>
        <w:t>с</w:t>
      </w:r>
      <w:r w:rsidRPr="008633B8">
        <w:rPr>
          <w:sz w:val="28"/>
          <w:szCs w:val="28"/>
        </w:rPr>
        <w:t>тандарта, рыночной стоимости всего ранее переданного в качестве Основного обеспечения имущества, за исключением выводимого из состава обеспечения имущества и имущества, переданного в качестве дополнительного обеспечения.</w:t>
      </w:r>
    </w:p>
    <w:p w14:paraId="39161D4E" w14:textId="35A3A1E5" w:rsidR="003A3E4E" w:rsidRPr="00961BA6" w:rsidRDefault="001916B1" w:rsidP="00C015C5">
      <w:pPr>
        <w:pStyle w:val="20"/>
        <w:numPr>
          <w:ilvl w:val="0"/>
          <w:numId w:val="0"/>
        </w:numPr>
        <w:tabs>
          <w:tab w:val="left" w:pos="1134"/>
          <w:tab w:val="left" w:pos="1701"/>
        </w:tabs>
        <w:spacing w:before="0" w:after="120"/>
        <w:ind w:firstLine="709"/>
        <w:rPr>
          <w:sz w:val="28"/>
          <w:szCs w:val="28"/>
        </w:rPr>
      </w:pPr>
      <w:r w:rsidRPr="00961BA6">
        <w:rPr>
          <w:sz w:val="28"/>
          <w:szCs w:val="28"/>
        </w:rPr>
        <w:t xml:space="preserve">Фонд осуществляет экспертизу на соответствие предложенного Заявителем Обеспечения </w:t>
      </w:r>
      <w:r w:rsidR="001A4746" w:rsidRPr="008633B8">
        <w:rPr>
          <w:sz w:val="28"/>
          <w:szCs w:val="28"/>
        </w:rPr>
        <w:t>(в том числе ранее принятого в качестве Основного обеспечения)</w:t>
      </w:r>
      <w:r w:rsidRPr="008633B8">
        <w:rPr>
          <w:sz w:val="28"/>
          <w:szCs w:val="28"/>
        </w:rPr>
        <w:t xml:space="preserve"> требованиям настоящего стандарта, предъявляемым к качеству и достаточности обеспечения</w:t>
      </w:r>
      <w:r w:rsidR="00206566" w:rsidRPr="008633B8">
        <w:rPr>
          <w:sz w:val="28"/>
          <w:szCs w:val="28"/>
        </w:rPr>
        <w:t xml:space="preserve"> в редакции </w:t>
      </w:r>
      <w:r w:rsidR="009D3B51" w:rsidRPr="008633B8">
        <w:rPr>
          <w:sz w:val="28"/>
          <w:szCs w:val="28"/>
        </w:rPr>
        <w:t>с</w:t>
      </w:r>
      <w:r w:rsidR="00206566" w:rsidRPr="008633B8">
        <w:rPr>
          <w:sz w:val="28"/>
          <w:szCs w:val="28"/>
        </w:rPr>
        <w:t>тандарта, действующего на дату проведения указанных изменений</w:t>
      </w:r>
      <w:r w:rsidRPr="00961BA6">
        <w:rPr>
          <w:sz w:val="28"/>
          <w:szCs w:val="28"/>
        </w:rPr>
        <w:t>.</w:t>
      </w:r>
      <w:bookmarkStart w:id="10" w:name="_Toc521305181"/>
      <w:bookmarkStart w:id="11" w:name="_Toc521812779"/>
      <w:bookmarkStart w:id="12" w:name="_Toc315712170"/>
    </w:p>
    <w:p w14:paraId="06DD2093" w14:textId="77777777" w:rsidR="00974E49" w:rsidRPr="008633B8" w:rsidRDefault="003A3E4E" w:rsidP="00C015C5">
      <w:pPr>
        <w:pStyle w:val="20"/>
        <w:numPr>
          <w:ilvl w:val="0"/>
          <w:numId w:val="0"/>
        </w:numPr>
        <w:tabs>
          <w:tab w:val="left" w:pos="1134"/>
          <w:tab w:val="left" w:pos="1701"/>
        </w:tabs>
        <w:spacing w:before="0" w:after="120"/>
        <w:ind w:firstLine="709"/>
        <w:rPr>
          <w:sz w:val="28"/>
          <w:szCs w:val="28"/>
        </w:rPr>
      </w:pPr>
      <w:r w:rsidRPr="008633B8">
        <w:rPr>
          <w:sz w:val="28"/>
          <w:szCs w:val="28"/>
        </w:rPr>
        <w:t xml:space="preserve">В случае реструктуризации займа на период, не превышающий максимальный срок по программе финансирования с момента предоставления займа, при условии отсутствия выявленных в рамках мониторинга залогового имущества, гарантов и поручителей фактов и рисков утраты/ухудшения обеспечения, предоставленного Заемщиком, переоценка основного обеспечения не требуется. </w:t>
      </w:r>
    </w:p>
    <w:p w14:paraId="5D4E58E7" w14:textId="0368096C" w:rsidR="003A3E4E" w:rsidRPr="008633B8" w:rsidRDefault="003A3E4E" w:rsidP="00C015C5">
      <w:pPr>
        <w:pStyle w:val="20"/>
        <w:numPr>
          <w:ilvl w:val="0"/>
          <w:numId w:val="0"/>
        </w:numPr>
        <w:tabs>
          <w:tab w:val="left" w:pos="1134"/>
          <w:tab w:val="left" w:pos="1701"/>
        </w:tabs>
        <w:spacing w:before="0" w:after="120"/>
        <w:ind w:firstLine="709"/>
        <w:rPr>
          <w:sz w:val="28"/>
          <w:szCs w:val="28"/>
        </w:rPr>
      </w:pPr>
      <w:r w:rsidRPr="008633B8">
        <w:rPr>
          <w:sz w:val="28"/>
          <w:szCs w:val="28"/>
        </w:rPr>
        <w:t>Вопрос внесения указанных изменений в структуру обеспечения рассматривается Экспертным советом Фонда в соответствии с п.</w:t>
      </w:r>
      <w:r w:rsidR="00974E49" w:rsidRPr="008633B8">
        <w:rPr>
          <w:sz w:val="28"/>
          <w:szCs w:val="28"/>
        </w:rPr>
        <w:t xml:space="preserve"> </w:t>
      </w:r>
      <w:r w:rsidRPr="008633B8">
        <w:rPr>
          <w:sz w:val="28"/>
          <w:szCs w:val="28"/>
        </w:rPr>
        <w:t xml:space="preserve">3.18 настоящего </w:t>
      </w:r>
      <w:r w:rsidR="009D3B51" w:rsidRPr="008633B8">
        <w:rPr>
          <w:sz w:val="28"/>
          <w:szCs w:val="28"/>
        </w:rPr>
        <w:t>с</w:t>
      </w:r>
      <w:r w:rsidRPr="008633B8">
        <w:rPr>
          <w:sz w:val="28"/>
          <w:szCs w:val="28"/>
        </w:rPr>
        <w:t>тандарта.</w:t>
      </w:r>
    </w:p>
    <w:p w14:paraId="69764DCC" w14:textId="77775C20" w:rsidR="006C201B" w:rsidRPr="00961BA6" w:rsidRDefault="001916B1" w:rsidP="00C015C5">
      <w:pPr>
        <w:pStyle w:val="20"/>
        <w:numPr>
          <w:ilvl w:val="0"/>
          <w:numId w:val="0"/>
        </w:numPr>
        <w:tabs>
          <w:tab w:val="left" w:pos="1134"/>
          <w:tab w:val="left" w:pos="1701"/>
        </w:tabs>
        <w:spacing w:before="0" w:after="120"/>
        <w:ind w:firstLine="709"/>
        <w:rPr>
          <w:snapToGrid w:val="0"/>
          <w:sz w:val="28"/>
          <w:szCs w:val="28"/>
        </w:rPr>
      </w:pPr>
      <w:r w:rsidRPr="00961BA6">
        <w:rPr>
          <w:snapToGrid w:val="0"/>
          <w:sz w:val="28"/>
          <w:szCs w:val="28"/>
        </w:rPr>
        <w:br w:type="page"/>
      </w:r>
    </w:p>
    <w:p w14:paraId="7A938491" w14:textId="49144AF2" w:rsidR="003C49B8" w:rsidRPr="00961BA6" w:rsidRDefault="001916B1" w:rsidP="007E565F">
      <w:pPr>
        <w:pStyle w:val="1"/>
        <w:numPr>
          <w:ilvl w:val="0"/>
          <w:numId w:val="0"/>
        </w:numPr>
        <w:tabs>
          <w:tab w:val="left" w:pos="426"/>
        </w:tabs>
        <w:spacing w:before="120"/>
        <w:ind w:left="5528"/>
        <w:rPr>
          <w:szCs w:val="28"/>
        </w:rPr>
      </w:pPr>
      <w:bookmarkStart w:id="13" w:name="_Toc61340745"/>
      <w:bookmarkEnd w:id="10"/>
      <w:bookmarkEnd w:id="11"/>
      <w:bookmarkEnd w:id="12"/>
      <w:r w:rsidRPr="00961BA6">
        <w:rPr>
          <w:szCs w:val="28"/>
        </w:rPr>
        <w:lastRenderedPageBreak/>
        <w:t>Приложение № 1</w:t>
      </w:r>
      <w:bookmarkEnd w:id="13"/>
    </w:p>
    <w:p w14:paraId="08519961" w14:textId="77777777" w:rsidR="00DD74F2" w:rsidRPr="00961BA6" w:rsidRDefault="001916B1" w:rsidP="00C24F9A">
      <w:pPr>
        <w:spacing w:after="0"/>
        <w:ind w:left="5529" w:firstLine="0"/>
        <w:jc w:val="left"/>
        <w:rPr>
          <w:rFonts w:ascii="Times New Roman" w:hAnsi="Times New Roman" w:cs="Times New Roman"/>
          <w:b/>
          <w:sz w:val="28"/>
          <w:szCs w:val="28"/>
        </w:rPr>
      </w:pPr>
      <w:r w:rsidRPr="00961BA6">
        <w:rPr>
          <w:rFonts w:ascii="Times New Roman" w:hAnsi="Times New Roman" w:cs="Times New Roman"/>
          <w:b/>
          <w:sz w:val="28"/>
          <w:szCs w:val="28"/>
        </w:rPr>
        <w:t>к Стандарту Фонда ВО</w:t>
      </w:r>
    </w:p>
    <w:p w14:paraId="3D75C487" w14:textId="77777777" w:rsidR="00DD74F2" w:rsidRPr="00961BA6" w:rsidRDefault="00CE6D06" w:rsidP="00C24F9A">
      <w:pPr>
        <w:spacing w:after="0"/>
        <w:ind w:left="5529" w:firstLine="0"/>
        <w:jc w:val="left"/>
        <w:rPr>
          <w:rFonts w:ascii="Times New Roman" w:hAnsi="Times New Roman" w:cs="Times New Roman"/>
          <w:b/>
          <w:sz w:val="28"/>
          <w:szCs w:val="28"/>
        </w:rPr>
      </w:pPr>
      <w:r w:rsidRPr="00961BA6">
        <w:rPr>
          <w:rFonts w:ascii="Times New Roman" w:hAnsi="Times New Roman" w:cs="Times New Roman"/>
          <w:sz w:val="28"/>
          <w:szCs w:val="28"/>
        </w:rPr>
        <w:t>«</w:t>
      </w:r>
      <w:r w:rsidR="001916B1" w:rsidRPr="00961BA6">
        <w:rPr>
          <w:rFonts w:ascii="Times New Roman" w:hAnsi="Times New Roman" w:cs="Times New Roman"/>
          <w:b/>
          <w:sz w:val="28"/>
          <w:szCs w:val="28"/>
        </w:rPr>
        <w:t>Порядок обеспечения возврата займов, предоставленных в качестве финансирования проектов</w:t>
      </w:r>
      <w:r w:rsidRPr="00961BA6">
        <w:rPr>
          <w:rFonts w:ascii="Times New Roman" w:hAnsi="Times New Roman" w:cs="Times New Roman"/>
          <w:sz w:val="28"/>
          <w:szCs w:val="28"/>
        </w:rPr>
        <w:t>»</w:t>
      </w:r>
    </w:p>
    <w:p w14:paraId="6A0141E9" w14:textId="77777777" w:rsidR="003C49B8" w:rsidRPr="00961BA6" w:rsidRDefault="003C49B8" w:rsidP="003C49B8">
      <w:pPr>
        <w:spacing w:after="120"/>
        <w:jc w:val="right"/>
        <w:rPr>
          <w:rFonts w:ascii="Times New Roman" w:hAnsi="Times New Roman" w:cs="Times New Roman"/>
          <w:b/>
          <w:sz w:val="28"/>
          <w:szCs w:val="28"/>
        </w:rPr>
      </w:pPr>
    </w:p>
    <w:p w14:paraId="4D4A83CD" w14:textId="77777777" w:rsidR="003C49B8" w:rsidRPr="00961BA6" w:rsidRDefault="001916B1" w:rsidP="003C49B8">
      <w:pPr>
        <w:spacing w:after="120"/>
        <w:ind w:left="14"/>
        <w:contextualSpacing/>
        <w:jc w:val="center"/>
        <w:rPr>
          <w:rFonts w:ascii="Times New Roman" w:hAnsi="Times New Roman" w:cs="Times New Roman"/>
          <w:b/>
          <w:sz w:val="28"/>
          <w:szCs w:val="28"/>
        </w:rPr>
      </w:pPr>
      <w:r w:rsidRPr="00961BA6">
        <w:rPr>
          <w:rFonts w:ascii="Times New Roman" w:hAnsi="Times New Roman" w:cs="Times New Roman"/>
          <w:b/>
          <w:sz w:val="28"/>
          <w:szCs w:val="28"/>
        </w:rPr>
        <w:t>Виды Основного обеспечения,</w:t>
      </w:r>
    </w:p>
    <w:p w14:paraId="3EAF287D" w14:textId="77777777" w:rsidR="003C49B8" w:rsidRPr="00961BA6" w:rsidRDefault="00155CE9" w:rsidP="003C49B8">
      <w:pPr>
        <w:spacing w:after="120"/>
        <w:ind w:left="14"/>
        <w:contextualSpacing/>
        <w:jc w:val="center"/>
        <w:rPr>
          <w:rFonts w:ascii="Times New Roman" w:hAnsi="Times New Roman" w:cs="Times New Roman"/>
          <w:b/>
          <w:sz w:val="28"/>
          <w:szCs w:val="28"/>
        </w:rPr>
      </w:pPr>
      <w:r w:rsidRPr="00961BA6">
        <w:rPr>
          <w:rFonts w:ascii="Times New Roman" w:hAnsi="Times New Roman" w:cs="Times New Roman"/>
          <w:b/>
          <w:sz w:val="28"/>
          <w:szCs w:val="28"/>
        </w:rPr>
        <w:t>принимаемого Фондами</w:t>
      </w:r>
      <w:r w:rsidR="001916B1" w:rsidRPr="00961BA6">
        <w:rPr>
          <w:rFonts w:ascii="Times New Roman" w:hAnsi="Times New Roman" w:cs="Times New Roman"/>
          <w:b/>
          <w:sz w:val="28"/>
          <w:szCs w:val="28"/>
        </w:rPr>
        <w:t xml:space="preserve"> по финансируемым проектам</w:t>
      </w:r>
    </w:p>
    <w:p w14:paraId="60B11528" w14:textId="77777777" w:rsidR="00A94697" w:rsidRPr="00961BA6" w:rsidRDefault="001916B1" w:rsidP="004A2C53">
      <w:pPr>
        <w:pStyle w:val="TableParagraph"/>
        <w:tabs>
          <w:tab w:val="left" w:pos="7513"/>
        </w:tabs>
        <w:spacing w:after="120" w:line="269" w:lineRule="exact"/>
        <w:ind w:right="142" w:firstLine="709"/>
        <w:jc w:val="both"/>
        <w:rPr>
          <w:rFonts w:ascii="Times New Roman" w:hAnsi="Times New Roman" w:cs="Times New Roman"/>
          <w:sz w:val="28"/>
          <w:szCs w:val="28"/>
          <w:lang w:val="ru-RU"/>
        </w:rPr>
      </w:pPr>
      <w:r w:rsidRPr="00961BA6">
        <w:rPr>
          <w:rFonts w:ascii="Times New Roman" w:hAnsi="Times New Roman" w:cs="Times New Roman"/>
          <w:b/>
          <w:sz w:val="28"/>
          <w:szCs w:val="28"/>
        </w:rPr>
        <w:t>I</w:t>
      </w:r>
      <w:r w:rsidRPr="00961BA6">
        <w:rPr>
          <w:rFonts w:ascii="Times New Roman" w:hAnsi="Times New Roman" w:cs="Times New Roman"/>
          <w:b/>
          <w:sz w:val="28"/>
          <w:szCs w:val="28"/>
          <w:lang w:val="ru-RU"/>
        </w:rPr>
        <w:t xml:space="preserve">. Независимые гарантии кредитных организаций </w:t>
      </w:r>
      <w:r w:rsidRPr="00961BA6">
        <w:rPr>
          <w:rFonts w:ascii="Times New Roman" w:hAnsi="Times New Roman" w:cs="Times New Roman"/>
          <w:sz w:val="28"/>
          <w:szCs w:val="28"/>
          <w:lang w:val="ru-RU"/>
        </w:rPr>
        <w:t>(соответствующих критериям оценки устойчивости финансового положения, установленным Наблюдательным советом Фонда).</w:t>
      </w:r>
    </w:p>
    <w:p w14:paraId="04857FE5" w14:textId="77777777" w:rsidR="00F7127A" w:rsidRPr="00961BA6" w:rsidRDefault="001916B1" w:rsidP="004A2C53">
      <w:pPr>
        <w:pStyle w:val="TableParagraph"/>
        <w:tabs>
          <w:tab w:val="left" w:pos="0"/>
          <w:tab w:val="left" w:pos="1134"/>
        </w:tabs>
        <w:spacing w:after="120"/>
        <w:ind w:right="142" w:firstLine="709"/>
        <w:jc w:val="both"/>
        <w:rPr>
          <w:rFonts w:ascii="Times New Roman" w:hAnsi="Times New Roman" w:cs="Times New Roman"/>
          <w:sz w:val="28"/>
          <w:szCs w:val="28"/>
          <w:lang w:val="ru-RU"/>
        </w:rPr>
      </w:pPr>
      <w:r w:rsidRPr="00961BA6">
        <w:rPr>
          <w:rFonts w:ascii="Times New Roman" w:hAnsi="Times New Roman" w:cs="Times New Roman"/>
          <w:b/>
          <w:sz w:val="28"/>
          <w:szCs w:val="28"/>
        </w:rPr>
        <w:t>II</w:t>
      </w:r>
      <w:r w:rsidRPr="00961BA6">
        <w:rPr>
          <w:rFonts w:ascii="Times New Roman" w:hAnsi="Times New Roman" w:cs="Times New Roman"/>
          <w:b/>
          <w:sz w:val="28"/>
          <w:szCs w:val="28"/>
          <w:lang w:val="ru-RU"/>
        </w:rPr>
        <w:t xml:space="preserve">. Поручительства и независимые гарантии Государственной корпорации развития </w:t>
      </w:r>
      <w:r w:rsidR="00CE6D06" w:rsidRPr="00961BA6">
        <w:rPr>
          <w:rFonts w:ascii="Times New Roman" w:hAnsi="Times New Roman" w:cs="Times New Roman"/>
          <w:b/>
          <w:sz w:val="28"/>
          <w:szCs w:val="28"/>
          <w:lang w:val="ru-RU"/>
        </w:rPr>
        <w:t>«</w:t>
      </w:r>
      <w:r w:rsidRPr="00961BA6">
        <w:rPr>
          <w:rFonts w:ascii="Times New Roman" w:hAnsi="Times New Roman" w:cs="Times New Roman"/>
          <w:b/>
          <w:sz w:val="28"/>
          <w:szCs w:val="28"/>
          <w:lang w:val="ru-RU"/>
        </w:rPr>
        <w:t>ВЭБ.РФ</w:t>
      </w:r>
      <w:r w:rsidR="00CE6D06" w:rsidRPr="00961BA6">
        <w:rPr>
          <w:rFonts w:ascii="Times New Roman" w:hAnsi="Times New Roman" w:cs="Times New Roman"/>
          <w:b/>
          <w:sz w:val="28"/>
          <w:szCs w:val="28"/>
          <w:lang w:val="ru-RU"/>
        </w:rPr>
        <w:t>»</w:t>
      </w:r>
      <w:r w:rsidRPr="00961BA6">
        <w:rPr>
          <w:rFonts w:ascii="Times New Roman" w:hAnsi="Times New Roman" w:cs="Times New Roman"/>
          <w:b/>
          <w:sz w:val="28"/>
          <w:szCs w:val="28"/>
          <w:lang w:val="ru-RU"/>
        </w:rPr>
        <w:t>, независимые гарантии кредитных организаций, являющихся организациями ВЭБ.РФ и зарегистрированных на территории Российской Федерации</w:t>
      </w:r>
      <w:r w:rsidRPr="00961BA6">
        <w:rPr>
          <w:rFonts w:ascii="Times New Roman" w:hAnsi="Times New Roman" w:cs="Times New Roman"/>
          <w:sz w:val="28"/>
          <w:szCs w:val="28"/>
          <w:lang w:val="ru-RU"/>
        </w:rPr>
        <w:t>.</w:t>
      </w:r>
    </w:p>
    <w:p w14:paraId="108817EF" w14:textId="77777777" w:rsidR="00A94697" w:rsidRPr="00961BA6" w:rsidRDefault="001916B1" w:rsidP="00F7127A">
      <w:pPr>
        <w:pStyle w:val="TableParagraph"/>
        <w:tabs>
          <w:tab w:val="left" w:pos="0"/>
          <w:tab w:val="left" w:pos="1134"/>
        </w:tabs>
        <w:spacing w:after="120"/>
        <w:ind w:right="142" w:firstLine="709"/>
        <w:jc w:val="both"/>
        <w:rPr>
          <w:rFonts w:ascii="Times New Roman" w:hAnsi="Times New Roman" w:cs="Times New Roman"/>
          <w:sz w:val="28"/>
          <w:szCs w:val="28"/>
          <w:lang w:val="ru-RU"/>
        </w:rPr>
      </w:pPr>
      <w:r w:rsidRPr="00961BA6">
        <w:rPr>
          <w:rFonts w:ascii="Times New Roman" w:hAnsi="Times New Roman" w:cs="Times New Roman"/>
          <w:b/>
          <w:sz w:val="28"/>
          <w:szCs w:val="28"/>
        </w:rPr>
        <w:t>III</w:t>
      </w:r>
      <w:r w:rsidRPr="00961BA6">
        <w:rPr>
          <w:rFonts w:ascii="Times New Roman" w:hAnsi="Times New Roman" w:cs="Times New Roman"/>
          <w:b/>
          <w:sz w:val="28"/>
          <w:szCs w:val="28"/>
          <w:lang w:val="ru-RU"/>
        </w:rPr>
        <w:t xml:space="preserve">. Гарантии и поручительства АО </w:t>
      </w:r>
      <w:r w:rsidR="00CE6D06" w:rsidRPr="00961BA6">
        <w:rPr>
          <w:rFonts w:ascii="Times New Roman" w:hAnsi="Times New Roman" w:cs="Times New Roman"/>
          <w:b/>
          <w:sz w:val="28"/>
          <w:szCs w:val="28"/>
          <w:lang w:val="ru-RU"/>
        </w:rPr>
        <w:t>«</w:t>
      </w:r>
      <w:r w:rsidRPr="00961BA6">
        <w:rPr>
          <w:rFonts w:ascii="Times New Roman" w:hAnsi="Times New Roman" w:cs="Times New Roman"/>
          <w:b/>
          <w:sz w:val="28"/>
          <w:szCs w:val="28"/>
          <w:lang w:val="ru-RU"/>
        </w:rPr>
        <w:t>Федеральная корпорация по развитию малого и среднего предпринимательства</w:t>
      </w:r>
      <w:r w:rsidR="00CE6D06" w:rsidRPr="00961BA6">
        <w:rPr>
          <w:rFonts w:ascii="Times New Roman" w:hAnsi="Times New Roman" w:cs="Times New Roman"/>
          <w:b/>
          <w:sz w:val="28"/>
          <w:szCs w:val="28"/>
          <w:lang w:val="ru-RU"/>
        </w:rPr>
        <w:t>»</w:t>
      </w:r>
      <w:r w:rsidRPr="00961BA6">
        <w:rPr>
          <w:rFonts w:ascii="Times New Roman" w:hAnsi="Times New Roman" w:cs="Times New Roman"/>
          <w:b/>
          <w:sz w:val="28"/>
          <w:szCs w:val="28"/>
          <w:lang w:val="ru-RU"/>
        </w:rPr>
        <w:t xml:space="preserve">, региональных фондов содействия кредитованию МСП, АО </w:t>
      </w:r>
      <w:r w:rsidR="00CE6D06" w:rsidRPr="00961BA6">
        <w:rPr>
          <w:rFonts w:ascii="Times New Roman" w:hAnsi="Times New Roman" w:cs="Times New Roman"/>
          <w:b/>
          <w:sz w:val="28"/>
          <w:szCs w:val="28"/>
          <w:lang w:val="ru-RU"/>
        </w:rPr>
        <w:t>«</w:t>
      </w:r>
      <w:r w:rsidRPr="00961BA6">
        <w:rPr>
          <w:rFonts w:ascii="Times New Roman" w:hAnsi="Times New Roman" w:cs="Times New Roman"/>
          <w:b/>
          <w:sz w:val="28"/>
          <w:szCs w:val="28"/>
          <w:lang w:val="ru-RU"/>
        </w:rPr>
        <w:t>МСП Банк</w:t>
      </w:r>
      <w:r w:rsidR="00CE6D06" w:rsidRPr="00961BA6">
        <w:rPr>
          <w:rFonts w:ascii="Times New Roman" w:hAnsi="Times New Roman" w:cs="Times New Roman"/>
          <w:b/>
          <w:sz w:val="28"/>
          <w:szCs w:val="28"/>
          <w:lang w:val="ru-RU"/>
        </w:rPr>
        <w:t>»</w:t>
      </w:r>
      <w:r w:rsidRPr="00961BA6">
        <w:rPr>
          <w:rFonts w:ascii="Times New Roman" w:hAnsi="Times New Roman" w:cs="Times New Roman"/>
          <w:sz w:val="28"/>
          <w:szCs w:val="28"/>
          <w:lang w:val="ru-RU"/>
        </w:rPr>
        <w:t>.</w:t>
      </w:r>
    </w:p>
    <w:p w14:paraId="500AF7F3" w14:textId="77777777" w:rsidR="00A13369" w:rsidRPr="00961BA6" w:rsidRDefault="001916B1" w:rsidP="00F7127A">
      <w:pPr>
        <w:pStyle w:val="TableParagraph"/>
        <w:tabs>
          <w:tab w:val="left" w:pos="0"/>
          <w:tab w:val="left" w:pos="1134"/>
        </w:tabs>
        <w:spacing w:after="120"/>
        <w:ind w:right="142" w:firstLine="709"/>
        <w:jc w:val="both"/>
        <w:rPr>
          <w:rFonts w:ascii="Times New Roman" w:hAnsi="Times New Roman" w:cs="Times New Roman"/>
          <w:b/>
          <w:sz w:val="28"/>
          <w:szCs w:val="28"/>
          <w:lang w:val="ru-RU"/>
        </w:rPr>
      </w:pPr>
      <w:r w:rsidRPr="00961BA6">
        <w:rPr>
          <w:rFonts w:ascii="Times New Roman" w:hAnsi="Times New Roman" w:cs="Times New Roman"/>
          <w:b/>
          <w:sz w:val="28"/>
          <w:szCs w:val="28"/>
        </w:rPr>
        <w:t>IV</w:t>
      </w:r>
      <w:r w:rsidRPr="00961BA6">
        <w:rPr>
          <w:rFonts w:ascii="Times New Roman" w:hAnsi="Times New Roman" w:cs="Times New Roman"/>
          <w:b/>
          <w:sz w:val="28"/>
          <w:szCs w:val="28"/>
          <w:lang w:val="ru-RU"/>
        </w:rPr>
        <w:t xml:space="preserve">. Страхование Акционерным обществом </w:t>
      </w:r>
      <w:r w:rsidR="00CE6D06" w:rsidRPr="00961BA6">
        <w:rPr>
          <w:rFonts w:ascii="Times New Roman" w:hAnsi="Times New Roman" w:cs="Times New Roman"/>
          <w:b/>
          <w:sz w:val="28"/>
          <w:szCs w:val="28"/>
          <w:lang w:val="ru-RU"/>
        </w:rPr>
        <w:t>«</w:t>
      </w:r>
      <w:r w:rsidRPr="00961BA6">
        <w:rPr>
          <w:rFonts w:ascii="Times New Roman" w:hAnsi="Times New Roman" w:cs="Times New Roman"/>
          <w:b/>
          <w:sz w:val="28"/>
          <w:szCs w:val="28"/>
          <w:lang w:val="ru-RU"/>
        </w:rPr>
        <w:t>Российское агентство по страхованию экспортных кредитов и инвестиций (АО ЭКСАР</w:t>
      </w:r>
      <w:r w:rsidR="00CE6D06" w:rsidRPr="00961BA6">
        <w:rPr>
          <w:rFonts w:ascii="Times New Roman" w:hAnsi="Times New Roman" w:cs="Times New Roman"/>
          <w:b/>
          <w:sz w:val="28"/>
          <w:szCs w:val="28"/>
          <w:lang w:val="ru-RU"/>
        </w:rPr>
        <w:t>»</w:t>
      </w:r>
      <w:r w:rsidRPr="00961BA6">
        <w:rPr>
          <w:rFonts w:ascii="Times New Roman" w:hAnsi="Times New Roman" w:cs="Times New Roman"/>
          <w:b/>
          <w:sz w:val="28"/>
          <w:szCs w:val="28"/>
          <w:lang w:val="ru-RU"/>
        </w:rPr>
        <w:t>).</w:t>
      </w:r>
    </w:p>
    <w:p w14:paraId="4FD71418" w14:textId="77777777" w:rsidR="00A94697" w:rsidRPr="00961BA6" w:rsidRDefault="001916B1" w:rsidP="00F7127A">
      <w:pPr>
        <w:pStyle w:val="TableParagraph"/>
        <w:tabs>
          <w:tab w:val="left" w:pos="0"/>
          <w:tab w:val="left" w:pos="1134"/>
        </w:tabs>
        <w:spacing w:after="120"/>
        <w:ind w:right="142" w:firstLine="709"/>
        <w:jc w:val="both"/>
        <w:rPr>
          <w:rFonts w:ascii="Times New Roman" w:hAnsi="Times New Roman" w:cs="Times New Roman"/>
          <w:sz w:val="28"/>
          <w:szCs w:val="28"/>
          <w:lang w:val="ru-RU"/>
        </w:rPr>
      </w:pPr>
      <w:r w:rsidRPr="00961BA6">
        <w:rPr>
          <w:rFonts w:ascii="Times New Roman" w:hAnsi="Times New Roman" w:cs="Times New Roman"/>
          <w:b/>
          <w:sz w:val="28"/>
          <w:szCs w:val="28"/>
        </w:rPr>
        <w:t>V</w:t>
      </w:r>
      <w:r w:rsidRPr="00961BA6">
        <w:rPr>
          <w:rFonts w:ascii="Times New Roman" w:hAnsi="Times New Roman" w:cs="Times New Roman"/>
          <w:b/>
          <w:sz w:val="28"/>
          <w:szCs w:val="28"/>
          <w:lang w:val="ru-RU"/>
        </w:rPr>
        <w:t>. Государственные (муниципальные) гарантии субъектов Российской Федерации (муниципальных образований), соответствующие требованиям статей 115-117 Бюджетного кодекса Российской Федерации</w:t>
      </w:r>
      <w:r w:rsidRPr="00961BA6">
        <w:rPr>
          <w:rFonts w:ascii="Times New Roman" w:hAnsi="Times New Roman" w:cs="Times New Roman"/>
          <w:sz w:val="28"/>
          <w:szCs w:val="28"/>
          <w:lang w:val="ru-RU"/>
        </w:rPr>
        <w:t>.</w:t>
      </w:r>
    </w:p>
    <w:p w14:paraId="092ACF5D" w14:textId="77777777" w:rsidR="008058F7" w:rsidRPr="00961BA6" w:rsidRDefault="001916B1" w:rsidP="008058F7">
      <w:pPr>
        <w:pStyle w:val="TableParagraph"/>
        <w:tabs>
          <w:tab w:val="left" w:pos="7513"/>
        </w:tabs>
        <w:spacing w:after="120"/>
        <w:ind w:right="142" w:firstLine="709"/>
        <w:jc w:val="both"/>
        <w:rPr>
          <w:rFonts w:ascii="Times New Roman" w:hAnsi="Times New Roman" w:cs="Times New Roman"/>
          <w:b/>
          <w:sz w:val="28"/>
          <w:szCs w:val="28"/>
          <w:lang w:val="ru-RU"/>
        </w:rPr>
      </w:pPr>
      <w:r w:rsidRPr="00961BA6">
        <w:rPr>
          <w:rFonts w:ascii="Times New Roman" w:hAnsi="Times New Roman" w:cs="Times New Roman"/>
          <w:b/>
          <w:sz w:val="28"/>
          <w:szCs w:val="28"/>
        </w:rPr>
        <w:t>VI</w:t>
      </w:r>
      <w:r w:rsidRPr="00961BA6">
        <w:rPr>
          <w:rFonts w:ascii="Times New Roman" w:hAnsi="Times New Roman" w:cs="Times New Roman"/>
          <w:b/>
          <w:sz w:val="28"/>
          <w:szCs w:val="28"/>
          <w:lang w:val="ru-RU"/>
        </w:rPr>
        <w:t>. Поручительства и независимые гарантии международных финансовых организаций, международных организаций развития</w:t>
      </w:r>
      <w:r w:rsidRPr="00961BA6">
        <w:rPr>
          <w:rStyle w:val="a8"/>
          <w:rFonts w:ascii="Times New Roman" w:hAnsi="Times New Roman"/>
          <w:b/>
          <w:sz w:val="28"/>
          <w:szCs w:val="28"/>
          <w:lang w:val="ru-RU"/>
        </w:rPr>
        <w:footnoteReference w:id="6"/>
      </w:r>
      <w:r w:rsidRPr="00961BA6">
        <w:rPr>
          <w:rFonts w:ascii="Times New Roman" w:hAnsi="Times New Roman" w:cs="Times New Roman"/>
          <w:b/>
          <w:sz w:val="28"/>
          <w:szCs w:val="28"/>
          <w:lang w:val="ru-RU"/>
        </w:rPr>
        <w:t xml:space="preserve"> с участием Российской Федерации </w:t>
      </w:r>
      <w:r w:rsidRPr="00961BA6">
        <w:rPr>
          <w:rFonts w:ascii="Times New Roman" w:hAnsi="Times New Roman" w:cs="Times New Roman"/>
          <w:sz w:val="28"/>
          <w:szCs w:val="28"/>
          <w:lang w:val="ru-RU"/>
        </w:rPr>
        <w:t xml:space="preserve">(соответствующих критерию оценки устойчивости финансового положения кредитных организаций, установленным Наблюдательным советом Фонда: долгосрочный рейтинг в национальной и/или иностранной валюте, присвоенный одним из международных рейтинговых агентств): </w:t>
      </w:r>
      <w:r w:rsidRPr="00961BA6">
        <w:rPr>
          <w:rFonts w:ascii="Times New Roman" w:hAnsi="Times New Roman" w:cs="Times New Roman"/>
          <w:b/>
          <w:sz w:val="28"/>
          <w:szCs w:val="28"/>
          <w:lang w:val="ru-RU"/>
        </w:rPr>
        <w:t>Евразийский банк развития</w:t>
      </w:r>
      <w:r w:rsidRPr="00961BA6">
        <w:rPr>
          <w:rStyle w:val="a8"/>
          <w:rFonts w:ascii="Times New Roman" w:hAnsi="Times New Roman"/>
          <w:b/>
          <w:sz w:val="28"/>
          <w:szCs w:val="28"/>
          <w:lang w:val="ru-RU"/>
        </w:rPr>
        <w:footnoteReference w:id="7"/>
      </w:r>
      <w:r w:rsidRPr="00961BA6">
        <w:rPr>
          <w:rFonts w:ascii="Times New Roman" w:hAnsi="Times New Roman" w:cs="Times New Roman"/>
          <w:b/>
          <w:sz w:val="28"/>
          <w:szCs w:val="28"/>
          <w:lang w:val="ru-RU"/>
        </w:rPr>
        <w:t>.</w:t>
      </w:r>
    </w:p>
    <w:p w14:paraId="4A61D2D0" w14:textId="6ABDF873" w:rsidR="00A94697" w:rsidRPr="00961BA6" w:rsidRDefault="001916B1" w:rsidP="00A13369">
      <w:pPr>
        <w:pStyle w:val="TableParagraph"/>
        <w:tabs>
          <w:tab w:val="left" w:pos="7513"/>
        </w:tabs>
        <w:spacing w:after="120"/>
        <w:ind w:right="142" w:firstLine="709"/>
        <w:jc w:val="both"/>
        <w:rPr>
          <w:rFonts w:ascii="Times New Roman" w:hAnsi="Times New Roman" w:cs="Times New Roman"/>
          <w:sz w:val="28"/>
          <w:szCs w:val="28"/>
          <w:lang w:val="ru-RU"/>
        </w:rPr>
      </w:pPr>
      <w:r w:rsidRPr="00961BA6">
        <w:rPr>
          <w:rFonts w:ascii="Times New Roman" w:hAnsi="Times New Roman" w:cs="Times New Roman"/>
          <w:b/>
          <w:sz w:val="28"/>
          <w:szCs w:val="28"/>
          <w:lang w:val="ru-RU"/>
        </w:rPr>
        <w:t>VII. Поручительства и независимые гарантии юридических лиц</w:t>
      </w:r>
      <w:r w:rsidRPr="00961BA6">
        <w:rPr>
          <w:rStyle w:val="a8"/>
          <w:rFonts w:ascii="Times New Roman" w:hAnsi="Times New Roman"/>
          <w:b/>
          <w:sz w:val="28"/>
          <w:szCs w:val="28"/>
          <w:lang w:val="ru-RU"/>
        </w:rPr>
        <w:footnoteReference w:id="8"/>
      </w:r>
      <w:r w:rsidR="00441473" w:rsidRPr="00961BA6">
        <w:rPr>
          <w:rFonts w:ascii="Times New Roman" w:hAnsi="Times New Roman" w:cs="Times New Roman"/>
          <w:b/>
          <w:sz w:val="28"/>
          <w:szCs w:val="28"/>
          <w:lang w:val="ru-RU"/>
        </w:rPr>
        <w:t xml:space="preserve"> </w:t>
      </w:r>
      <w:r w:rsidRPr="00961BA6">
        <w:rPr>
          <w:rFonts w:ascii="Times New Roman" w:hAnsi="Times New Roman" w:cs="Times New Roman"/>
          <w:sz w:val="28"/>
          <w:szCs w:val="28"/>
          <w:lang w:val="ru-RU"/>
        </w:rPr>
        <w:t>(при условии соответствия юридического лица</w:t>
      </w:r>
      <w:r w:rsidR="00003D74" w:rsidRPr="00961BA6">
        <w:rPr>
          <w:rFonts w:ascii="Times New Roman" w:hAnsi="Times New Roman" w:cs="Times New Roman"/>
          <w:sz w:val="28"/>
          <w:szCs w:val="28"/>
          <w:lang w:val="ru-RU"/>
        </w:rPr>
        <w:t xml:space="preserve"> </w:t>
      </w:r>
      <w:r w:rsidRPr="00961BA6">
        <w:rPr>
          <w:rFonts w:ascii="Times New Roman" w:hAnsi="Times New Roman" w:cs="Times New Roman"/>
          <w:sz w:val="28"/>
          <w:szCs w:val="28"/>
          <w:lang w:val="ru-RU"/>
        </w:rPr>
        <w:t>критериям оценки устойчивости финансового положения, установленным Наблюдательным советом Фонда).</w:t>
      </w:r>
    </w:p>
    <w:p w14:paraId="25E15FF6" w14:textId="77777777" w:rsidR="00E121A9" w:rsidRPr="00961BA6" w:rsidRDefault="001916B1" w:rsidP="00A13369">
      <w:pPr>
        <w:pStyle w:val="TableParagraph"/>
        <w:tabs>
          <w:tab w:val="left" w:pos="7513"/>
        </w:tabs>
        <w:spacing w:after="120"/>
        <w:ind w:right="142" w:firstLine="709"/>
        <w:jc w:val="both"/>
        <w:rPr>
          <w:rFonts w:ascii="Times New Roman" w:hAnsi="Times New Roman" w:cs="Times New Roman"/>
          <w:sz w:val="28"/>
          <w:szCs w:val="28"/>
          <w:lang w:val="ru-RU"/>
        </w:rPr>
      </w:pPr>
      <w:r w:rsidRPr="00961BA6">
        <w:rPr>
          <w:rFonts w:ascii="Times New Roman" w:hAnsi="Times New Roman" w:cs="Times New Roman"/>
          <w:b/>
          <w:sz w:val="28"/>
          <w:szCs w:val="28"/>
        </w:rPr>
        <w:t>V</w:t>
      </w:r>
      <w:r w:rsidRPr="00961BA6">
        <w:rPr>
          <w:rFonts w:ascii="Times New Roman" w:hAnsi="Times New Roman" w:cs="Times New Roman"/>
          <w:b/>
          <w:sz w:val="28"/>
          <w:szCs w:val="28"/>
          <w:lang w:val="sl-SI"/>
        </w:rPr>
        <w:t>III</w:t>
      </w:r>
      <w:r w:rsidRPr="00961BA6">
        <w:rPr>
          <w:rFonts w:ascii="Times New Roman" w:hAnsi="Times New Roman" w:cs="Times New Roman"/>
          <w:b/>
          <w:sz w:val="28"/>
          <w:szCs w:val="28"/>
          <w:lang w:val="ru-RU"/>
        </w:rPr>
        <w:t>. Поручительства лизинговых компаний</w:t>
      </w:r>
      <w:r w:rsidRPr="00961BA6">
        <w:rPr>
          <w:rFonts w:ascii="Times New Roman" w:hAnsi="Times New Roman" w:cs="Times New Roman"/>
          <w:sz w:val="28"/>
          <w:szCs w:val="28"/>
          <w:lang w:val="ru-RU"/>
        </w:rPr>
        <w:t xml:space="preserve"> (соответствующих критериям оценки устойчивости финансового положения, установленным </w:t>
      </w:r>
      <w:r w:rsidRPr="00961BA6">
        <w:rPr>
          <w:rFonts w:ascii="Times New Roman" w:hAnsi="Times New Roman" w:cs="Times New Roman"/>
          <w:sz w:val="28"/>
          <w:szCs w:val="28"/>
          <w:lang w:val="ru-RU"/>
        </w:rPr>
        <w:lastRenderedPageBreak/>
        <w:t>Наблюдательным советом Фонда).</w:t>
      </w:r>
    </w:p>
    <w:p w14:paraId="522B3782" w14:textId="77777777" w:rsidR="00A94697" w:rsidRPr="00961BA6" w:rsidRDefault="001916B1" w:rsidP="007C581F">
      <w:pPr>
        <w:pStyle w:val="TableParagraph"/>
        <w:tabs>
          <w:tab w:val="left" w:pos="0"/>
          <w:tab w:val="left" w:pos="1134"/>
        </w:tabs>
        <w:ind w:right="142" w:firstLine="709"/>
        <w:jc w:val="both"/>
        <w:rPr>
          <w:rFonts w:ascii="Times New Roman" w:hAnsi="Times New Roman" w:cs="Times New Roman"/>
          <w:sz w:val="28"/>
          <w:szCs w:val="28"/>
          <w:lang w:val="ru-RU"/>
        </w:rPr>
      </w:pPr>
      <w:r w:rsidRPr="00961BA6">
        <w:rPr>
          <w:rFonts w:ascii="Times New Roman" w:hAnsi="Times New Roman" w:cs="Times New Roman"/>
          <w:b/>
          <w:sz w:val="28"/>
          <w:szCs w:val="28"/>
        </w:rPr>
        <w:t>IX</w:t>
      </w:r>
      <w:r w:rsidRPr="00961BA6">
        <w:rPr>
          <w:rFonts w:ascii="Times New Roman" w:hAnsi="Times New Roman" w:cs="Times New Roman"/>
          <w:b/>
          <w:sz w:val="28"/>
          <w:szCs w:val="28"/>
          <w:lang w:val="ru-RU"/>
        </w:rPr>
        <w:t xml:space="preserve">. Залог имущества и имущественных прав, </w:t>
      </w:r>
      <w:r w:rsidRPr="00961BA6">
        <w:rPr>
          <w:rFonts w:ascii="Times New Roman" w:hAnsi="Times New Roman" w:cs="Times New Roman"/>
          <w:sz w:val="28"/>
          <w:szCs w:val="28"/>
          <w:lang w:val="ru-RU"/>
        </w:rPr>
        <w:t>за исключением имущества, перечисленного в Приложении № 3 к настоящему стандарту, включая следующие:</w:t>
      </w:r>
    </w:p>
    <w:p w14:paraId="5EFD5994" w14:textId="77777777" w:rsidR="007C581F" w:rsidRPr="00961BA6" w:rsidRDefault="001916B1" w:rsidP="007F0413">
      <w:pPr>
        <w:pStyle w:val="TableParagraph"/>
        <w:numPr>
          <w:ilvl w:val="0"/>
          <w:numId w:val="12"/>
        </w:numPr>
        <w:tabs>
          <w:tab w:val="left" w:pos="629"/>
          <w:tab w:val="left" w:pos="1134"/>
        </w:tabs>
        <w:ind w:left="0" w:right="142" w:firstLine="709"/>
        <w:jc w:val="both"/>
        <w:rPr>
          <w:rFonts w:ascii="Times New Roman" w:hAnsi="Times New Roman" w:cs="Times New Roman"/>
          <w:sz w:val="28"/>
          <w:szCs w:val="28"/>
          <w:lang w:val="ru-RU"/>
        </w:rPr>
      </w:pPr>
      <w:r w:rsidRPr="00961BA6">
        <w:rPr>
          <w:rFonts w:ascii="Times New Roman" w:hAnsi="Times New Roman" w:cs="Times New Roman"/>
          <w:sz w:val="28"/>
          <w:szCs w:val="28"/>
          <w:lang w:val="ru-RU"/>
        </w:rPr>
        <w:t>недвижимое имущество (промышленная, коммерческая, жилая недвижимость, зарегистрированные объекты незавершенного строительства, земельные участки, права долгосрочной аренды на земельные участки, на которых расположены предлагаемые в залог объекты недвижимости);</w:t>
      </w:r>
    </w:p>
    <w:p w14:paraId="38627D6D" w14:textId="77777777" w:rsidR="007C581F" w:rsidRPr="00961BA6" w:rsidRDefault="001916B1" w:rsidP="007F0413">
      <w:pPr>
        <w:pStyle w:val="TableParagraph"/>
        <w:numPr>
          <w:ilvl w:val="0"/>
          <w:numId w:val="12"/>
        </w:numPr>
        <w:tabs>
          <w:tab w:val="left" w:pos="629"/>
          <w:tab w:val="left" w:pos="1134"/>
        </w:tabs>
        <w:ind w:left="0" w:right="142" w:firstLine="709"/>
        <w:jc w:val="both"/>
        <w:rPr>
          <w:rFonts w:ascii="Times New Roman" w:hAnsi="Times New Roman" w:cs="Times New Roman"/>
          <w:sz w:val="28"/>
          <w:szCs w:val="28"/>
          <w:lang w:val="ru-RU"/>
        </w:rPr>
      </w:pPr>
      <w:r w:rsidRPr="00961BA6">
        <w:rPr>
          <w:rFonts w:ascii="Times New Roman" w:hAnsi="Times New Roman" w:cs="Times New Roman"/>
          <w:sz w:val="28"/>
          <w:szCs w:val="28"/>
          <w:lang w:val="ru-RU"/>
        </w:rPr>
        <w:t>движимое имущество (оборудование и транспортные средства);</w:t>
      </w:r>
    </w:p>
    <w:p w14:paraId="35727F56" w14:textId="77777777" w:rsidR="004200D6" w:rsidRPr="00961BA6" w:rsidRDefault="001916B1" w:rsidP="007F0413">
      <w:pPr>
        <w:pStyle w:val="TableParagraph"/>
        <w:numPr>
          <w:ilvl w:val="0"/>
          <w:numId w:val="12"/>
        </w:numPr>
        <w:tabs>
          <w:tab w:val="left" w:pos="629"/>
          <w:tab w:val="left" w:pos="1134"/>
        </w:tabs>
        <w:ind w:left="0" w:right="142" w:firstLine="709"/>
        <w:jc w:val="both"/>
        <w:rPr>
          <w:rFonts w:ascii="Times New Roman" w:hAnsi="Times New Roman" w:cs="Times New Roman"/>
          <w:sz w:val="28"/>
          <w:szCs w:val="28"/>
          <w:lang w:val="ru-RU"/>
        </w:rPr>
      </w:pPr>
      <w:r w:rsidRPr="00961BA6">
        <w:rPr>
          <w:rFonts w:ascii="Times New Roman" w:hAnsi="Times New Roman" w:cs="Times New Roman"/>
          <w:sz w:val="28"/>
          <w:szCs w:val="28"/>
          <w:lang w:val="ru-RU"/>
        </w:rPr>
        <w:t>драгоценные металлы;</w:t>
      </w:r>
    </w:p>
    <w:p w14:paraId="048BDDB0" w14:textId="77777777" w:rsidR="007C581F" w:rsidRPr="00961BA6" w:rsidRDefault="001916B1" w:rsidP="007F0413">
      <w:pPr>
        <w:pStyle w:val="TableParagraph"/>
        <w:numPr>
          <w:ilvl w:val="0"/>
          <w:numId w:val="12"/>
        </w:numPr>
        <w:tabs>
          <w:tab w:val="left" w:pos="629"/>
          <w:tab w:val="left" w:pos="1134"/>
        </w:tabs>
        <w:ind w:left="0" w:right="142" w:firstLine="709"/>
        <w:jc w:val="both"/>
        <w:rPr>
          <w:rFonts w:ascii="Times New Roman" w:hAnsi="Times New Roman" w:cs="Times New Roman"/>
          <w:sz w:val="28"/>
          <w:szCs w:val="28"/>
          <w:lang w:val="ru-RU"/>
        </w:rPr>
      </w:pPr>
      <w:r w:rsidRPr="00961BA6">
        <w:rPr>
          <w:rFonts w:ascii="Times New Roman" w:hAnsi="Times New Roman" w:cs="Times New Roman"/>
          <w:sz w:val="28"/>
          <w:szCs w:val="28"/>
          <w:lang w:val="ru-RU"/>
        </w:rPr>
        <w:t>обеспечительный платеж.</w:t>
      </w:r>
    </w:p>
    <w:p w14:paraId="04C45B71" w14:textId="77777777" w:rsidR="0092112C" w:rsidRPr="00961BA6" w:rsidRDefault="001916B1" w:rsidP="0092112C">
      <w:pPr>
        <w:pStyle w:val="TableParagraph"/>
        <w:tabs>
          <w:tab w:val="left" w:pos="0"/>
          <w:tab w:val="left" w:pos="1134"/>
        </w:tabs>
        <w:ind w:right="142" w:firstLine="709"/>
        <w:jc w:val="both"/>
        <w:rPr>
          <w:rFonts w:ascii="Times New Roman" w:hAnsi="Times New Roman" w:cs="Times New Roman"/>
          <w:sz w:val="28"/>
          <w:szCs w:val="28"/>
          <w:lang w:val="ru-RU"/>
        </w:rPr>
      </w:pPr>
      <w:r w:rsidRPr="00961BA6">
        <w:rPr>
          <w:rFonts w:ascii="Times New Roman" w:hAnsi="Times New Roman" w:cs="Times New Roman"/>
          <w:sz w:val="28"/>
          <w:szCs w:val="28"/>
          <w:lang w:val="ru-RU"/>
        </w:rPr>
        <w:t>Наблюдательный совет Фонда устанавливает программы финансирования проектов, для которых применяется (не применяется) соответствующий вид Основного обеспечения, условия (требования к качеству, включая критерии оценки устойчивости финансового положения кредитных организаций и юридических лиц) и дисконты, применяемые для определения залоговой стоимости Обеспечения по Займу Фондов.</w:t>
      </w:r>
    </w:p>
    <w:p w14:paraId="7BF4C1DC" w14:textId="77777777" w:rsidR="003C49B8" w:rsidRPr="00961BA6" w:rsidRDefault="001916B1" w:rsidP="007E565F">
      <w:pPr>
        <w:pStyle w:val="1"/>
        <w:numPr>
          <w:ilvl w:val="0"/>
          <w:numId w:val="0"/>
        </w:numPr>
        <w:tabs>
          <w:tab w:val="left" w:pos="426"/>
        </w:tabs>
        <w:spacing w:before="120"/>
        <w:ind w:left="5528"/>
        <w:rPr>
          <w:szCs w:val="28"/>
        </w:rPr>
      </w:pPr>
      <w:r w:rsidRPr="00961BA6">
        <w:rPr>
          <w:szCs w:val="28"/>
        </w:rPr>
        <w:br w:type="page"/>
      </w:r>
      <w:bookmarkStart w:id="14" w:name="_Toc61340746"/>
      <w:r w:rsidRPr="00961BA6">
        <w:rPr>
          <w:szCs w:val="28"/>
        </w:rPr>
        <w:lastRenderedPageBreak/>
        <w:t>Приложение № 2</w:t>
      </w:r>
      <w:bookmarkEnd w:id="14"/>
    </w:p>
    <w:p w14:paraId="77BDFD85" w14:textId="77777777" w:rsidR="00DD74F2" w:rsidRPr="00961BA6" w:rsidRDefault="001916B1" w:rsidP="00DD74F2">
      <w:pPr>
        <w:spacing w:after="0"/>
        <w:ind w:left="5529" w:firstLine="0"/>
        <w:jc w:val="left"/>
        <w:rPr>
          <w:rFonts w:ascii="Times New Roman" w:hAnsi="Times New Roman" w:cs="Times New Roman"/>
          <w:b/>
          <w:sz w:val="28"/>
          <w:szCs w:val="28"/>
        </w:rPr>
      </w:pPr>
      <w:r w:rsidRPr="00961BA6">
        <w:rPr>
          <w:rFonts w:ascii="Times New Roman" w:hAnsi="Times New Roman" w:cs="Times New Roman"/>
          <w:b/>
          <w:sz w:val="28"/>
          <w:szCs w:val="28"/>
        </w:rPr>
        <w:t>к Стандарту Фонда ВО</w:t>
      </w:r>
    </w:p>
    <w:p w14:paraId="4EB3C709" w14:textId="77777777" w:rsidR="00DD74F2" w:rsidRPr="00961BA6" w:rsidRDefault="001916B1" w:rsidP="00DD74F2">
      <w:pPr>
        <w:spacing w:after="0"/>
        <w:ind w:left="5529" w:firstLine="0"/>
        <w:jc w:val="left"/>
        <w:rPr>
          <w:rFonts w:ascii="Times New Roman" w:hAnsi="Times New Roman" w:cs="Times New Roman"/>
          <w:b/>
          <w:sz w:val="28"/>
          <w:szCs w:val="28"/>
        </w:rPr>
      </w:pPr>
      <w:r w:rsidRPr="00961BA6">
        <w:rPr>
          <w:rFonts w:ascii="Times New Roman" w:hAnsi="Times New Roman" w:cs="Times New Roman"/>
          <w:b/>
          <w:sz w:val="28"/>
          <w:szCs w:val="28"/>
        </w:rPr>
        <w:t>Порядок обеспечения возврата займов, предоставленных в качестве финансирования проектов</w:t>
      </w:r>
    </w:p>
    <w:p w14:paraId="61E77783" w14:textId="77777777" w:rsidR="00DD74F2" w:rsidRPr="00961BA6" w:rsidRDefault="00DD74F2" w:rsidP="003C49B8">
      <w:pPr>
        <w:spacing w:after="120"/>
        <w:jc w:val="right"/>
        <w:rPr>
          <w:rFonts w:ascii="Times New Roman" w:hAnsi="Times New Roman" w:cs="Times New Roman"/>
          <w:b/>
          <w:sz w:val="28"/>
          <w:szCs w:val="28"/>
        </w:rPr>
      </w:pPr>
    </w:p>
    <w:p w14:paraId="07E0D53A" w14:textId="77777777" w:rsidR="003C49B8" w:rsidRPr="00961BA6" w:rsidRDefault="003C49B8" w:rsidP="003C49B8">
      <w:pPr>
        <w:spacing w:after="120"/>
        <w:ind w:left="720"/>
        <w:contextualSpacing/>
        <w:rPr>
          <w:rFonts w:ascii="Times New Roman" w:hAnsi="Times New Roman" w:cs="Times New Roman"/>
          <w:sz w:val="28"/>
          <w:szCs w:val="28"/>
        </w:rPr>
      </w:pPr>
    </w:p>
    <w:p w14:paraId="5760D67B" w14:textId="77777777" w:rsidR="003C49B8" w:rsidRPr="00961BA6" w:rsidRDefault="003C49B8" w:rsidP="003C49B8">
      <w:pPr>
        <w:spacing w:after="120"/>
        <w:ind w:left="720"/>
        <w:contextualSpacing/>
        <w:rPr>
          <w:rFonts w:ascii="Times New Roman" w:hAnsi="Times New Roman" w:cs="Times New Roman"/>
          <w:sz w:val="28"/>
          <w:szCs w:val="28"/>
        </w:rPr>
      </w:pPr>
    </w:p>
    <w:p w14:paraId="3911004E" w14:textId="77777777" w:rsidR="003C49B8" w:rsidRPr="00961BA6" w:rsidRDefault="001916B1" w:rsidP="003C49B8">
      <w:pPr>
        <w:spacing w:after="120"/>
        <w:ind w:left="14" w:firstLine="14"/>
        <w:contextualSpacing/>
        <w:jc w:val="center"/>
        <w:rPr>
          <w:rFonts w:ascii="Times New Roman" w:hAnsi="Times New Roman" w:cs="Times New Roman"/>
          <w:b/>
          <w:sz w:val="28"/>
          <w:szCs w:val="28"/>
        </w:rPr>
      </w:pPr>
      <w:r w:rsidRPr="00961BA6">
        <w:rPr>
          <w:rFonts w:ascii="Times New Roman" w:hAnsi="Times New Roman" w:cs="Times New Roman"/>
          <w:b/>
          <w:sz w:val="28"/>
          <w:szCs w:val="28"/>
        </w:rPr>
        <w:t>Виды Дополнительного обеспечения,</w:t>
      </w:r>
    </w:p>
    <w:p w14:paraId="5C457F16" w14:textId="77777777" w:rsidR="003C49B8" w:rsidRPr="00961BA6" w:rsidRDefault="001916B1" w:rsidP="003C49B8">
      <w:pPr>
        <w:spacing w:after="120"/>
        <w:ind w:left="14" w:firstLine="14"/>
        <w:contextualSpacing/>
        <w:jc w:val="center"/>
        <w:rPr>
          <w:rFonts w:ascii="Times New Roman" w:hAnsi="Times New Roman" w:cs="Times New Roman"/>
          <w:sz w:val="28"/>
          <w:szCs w:val="28"/>
        </w:rPr>
      </w:pPr>
      <w:r w:rsidRPr="00961BA6">
        <w:rPr>
          <w:rFonts w:ascii="Times New Roman" w:hAnsi="Times New Roman" w:cs="Times New Roman"/>
          <w:b/>
          <w:sz w:val="28"/>
          <w:szCs w:val="28"/>
        </w:rPr>
        <w:t>принимаемого Фондами по финансируемым проектам</w:t>
      </w:r>
    </w:p>
    <w:p w14:paraId="71294528" w14:textId="77777777" w:rsidR="003C49B8" w:rsidRPr="00961BA6" w:rsidRDefault="003C49B8" w:rsidP="003C49B8">
      <w:pPr>
        <w:spacing w:after="120"/>
        <w:ind w:left="720"/>
        <w:contextualSpacing/>
        <w:jc w:val="center"/>
        <w:rPr>
          <w:rFonts w:ascii="Times New Roman" w:hAnsi="Times New Roman" w:cs="Times New Roman"/>
          <w:sz w:val="28"/>
          <w:szCs w:val="28"/>
        </w:rPr>
      </w:pPr>
    </w:p>
    <w:p w14:paraId="574F0B63" w14:textId="77777777" w:rsidR="003C49B8" w:rsidRPr="00961BA6" w:rsidRDefault="003C49B8" w:rsidP="003C49B8">
      <w:pPr>
        <w:spacing w:after="120"/>
        <w:ind w:left="720"/>
        <w:contextualSpacing/>
        <w:rPr>
          <w:rFonts w:ascii="Times New Roman" w:hAnsi="Times New Roman" w:cs="Times New Roman"/>
          <w:sz w:val="28"/>
          <w:szCs w:val="28"/>
        </w:rPr>
      </w:pPr>
    </w:p>
    <w:p w14:paraId="0E74B88C" w14:textId="77777777" w:rsidR="003C49B8" w:rsidRPr="00961BA6" w:rsidRDefault="001916B1" w:rsidP="007F0413">
      <w:pPr>
        <w:numPr>
          <w:ilvl w:val="0"/>
          <w:numId w:val="10"/>
        </w:numPr>
        <w:tabs>
          <w:tab w:val="left" w:pos="851"/>
          <w:tab w:val="left" w:pos="993"/>
        </w:tabs>
        <w:spacing w:after="120"/>
        <w:ind w:left="0" w:firstLine="709"/>
        <w:contextualSpacing/>
        <w:rPr>
          <w:rFonts w:ascii="Times New Roman" w:hAnsi="Times New Roman" w:cs="Times New Roman"/>
          <w:sz w:val="28"/>
          <w:szCs w:val="28"/>
        </w:rPr>
      </w:pPr>
      <w:r w:rsidRPr="00961BA6">
        <w:rPr>
          <w:rFonts w:ascii="Times New Roman" w:hAnsi="Times New Roman" w:cs="Times New Roman"/>
          <w:sz w:val="28"/>
          <w:szCs w:val="28"/>
        </w:rPr>
        <w:t>Поручительства физических лиц.</w:t>
      </w:r>
    </w:p>
    <w:p w14:paraId="2ED895B2" w14:textId="77777777" w:rsidR="003C49B8" w:rsidRPr="00961BA6" w:rsidRDefault="003C49B8" w:rsidP="008A26EA">
      <w:pPr>
        <w:tabs>
          <w:tab w:val="left" w:pos="851"/>
          <w:tab w:val="left" w:pos="993"/>
        </w:tabs>
        <w:spacing w:after="120"/>
        <w:ind w:firstLine="709"/>
        <w:contextualSpacing/>
        <w:rPr>
          <w:rFonts w:ascii="Times New Roman" w:hAnsi="Times New Roman" w:cs="Times New Roman"/>
          <w:sz w:val="28"/>
          <w:szCs w:val="28"/>
        </w:rPr>
      </w:pPr>
    </w:p>
    <w:p w14:paraId="45F3A867" w14:textId="77777777" w:rsidR="003C49B8" w:rsidRPr="00961BA6" w:rsidRDefault="001916B1" w:rsidP="007F0413">
      <w:pPr>
        <w:numPr>
          <w:ilvl w:val="0"/>
          <w:numId w:val="10"/>
        </w:numPr>
        <w:tabs>
          <w:tab w:val="left" w:pos="851"/>
          <w:tab w:val="left" w:pos="993"/>
        </w:tabs>
        <w:spacing w:after="120"/>
        <w:ind w:left="0" w:firstLine="709"/>
        <w:contextualSpacing/>
        <w:rPr>
          <w:rFonts w:ascii="Times New Roman" w:hAnsi="Times New Roman" w:cs="Times New Roman"/>
          <w:sz w:val="28"/>
          <w:szCs w:val="28"/>
        </w:rPr>
      </w:pPr>
      <w:r w:rsidRPr="00961BA6">
        <w:rPr>
          <w:rFonts w:ascii="Times New Roman" w:hAnsi="Times New Roman" w:cs="Times New Roman"/>
          <w:sz w:val="28"/>
          <w:szCs w:val="28"/>
        </w:rPr>
        <w:t>Приобретаемое в процессе реализации проекта имущество, не отвечающее требованиям отнесения к Основному обеспечению.</w:t>
      </w:r>
    </w:p>
    <w:p w14:paraId="2F904FFC" w14:textId="77777777" w:rsidR="003C49B8" w:rsidRPr="00961BA6" w:rsidRDefault="003C49B8" w:rsidP="008A26EA">
      <w:pPr>
        <w:tabs>
          <w:tab w:val="left" w:pos="851"/>
          <w:tab w:val="left" w:pos="993"/>
        </w:tabs>
        <w:spacing w:after="120"/>
        <w:ind w:firstLine="709"/>
        <w:contextualSpacing/>
        <w:rPr>
          <w:rFonts w:ascii="Times New Roman" w:hAnsi="Times New Roman" w:cs="Times New Roman"/>
          <w:sz w:val="28"/>
          <w:szCs w:val="28"/>
        </w:rPr>
      </w:pPr>
    </w:p>
    <w:p w14:paraId="4E5944D9" w14:textId="77777777" w:rsidR="003C49B8" w:rsidRPr="00961BA6" w:rsidRDefault="001916B1" w:rsidP="007F0413">
      <w:pPr>
        <w:numPr>
          <w:ilvl w:val="0"/>
          <w:numId w:val="10"/>
        </w:numPr>
        <w:tabs>
          <w:tab w:val="left" w:pos="851"/>
          <w:tab w:val="left" w:pos="993"/>
        </w:tabs>
        <w:spacing w:after="120"/>
        <w:ind w:left="0" w:firstLine="709"/>
        <w:contextualSpacing/>
        <w:rPr>
          <w:rFonts w:ascii="Times New Roman" w:hAnsi="Times New Roman" w:cs="Times New Roman"/>
          <w:sz w:val="28"/>
          <w:szCs w:val="28"/>
        </w:rPr>
      </w:pPr>
      <w:r w:rsidRPr="00961BA6">
        <w:rPr>
          <w:rFonts w:ascii="Times New Roman" w:hAnsi="Times New Roman" w:cs="Times New Roman"/>
          <w:sz w:val="28"/>
          <w:szCs w:val="28"/>
        </w:rPr>
        <w:t>Другие виды Обеспечения, которые по результатам оценки их качества не могут быть отнесены к Основному обеспечению.</w:t>
      </w:r>
    </w:p>
    <w:p w14:paraId="51B30B8D" w14:textId="77777777" w:rsidR="00BD675A" w:rsidRPr="00961BA6" w:rsidRDefault="001916B1" w:rsidP="007E565F">
      <w:pPr>
        <w:pStyle w:val="1"/>
        <w:numPr>
          <w:ilvl w:val="0"/>
          <w:numId w:val="0"/>
        </w:numPr>
        <w:tabs>
          <w:tab w:val="left" w:pos="426"/>
        </w:tabs>
        <w:spacing w:before="120"/>
        <w:ind w:left="5528"/>
        <w:rPr>
          <w:szCs w:val="28"/>
        </w:rPr>
      </w:pPr>
      <w:r w:rsidRPr="00961BA6">
        <w:rPr>
          <w:szCs w:val="28"/>
        </w:rPr>
        <w:br w:type="page"/>
      </w:r>
      <w:bookmarkStart w:id="15" w:name="_Toc61340747"/>
      <w:r w:rsidR="00BD675A" w:rsidRPr="00961BA6">
        <w:rPr>
          <w:szCs w:val="28"/>
        </w:rPr>
        <w:lastRenderedPageBreak/>
        <w:t>Приложение № 3</w:t>
      </w:r>
      <w:bookmarkEnd w:id="15"/>
    </w:p>
    <w:p w14:paraId="5CCF0E71" w14:textId="77777777" w:rsidR="0079458B" w:rsidRPr="00961BA6" w:rsidRDefault="001916B1" w:rsidP="0079458B">
      <w:pPr>
        <w:spacing w:after="0"/>
        <w:ind w:left="5529" w:firstLine="0"/>
        <w:jc w:val="left"/>
        <w:rPr>
          <w:rFonts w:ascii="Times New Roman" w:hAnsi="Times New Roman" w:cs="Times New Roman"/>
          <w:b/>
          <w:sz w:val="28"/>
          <w:szCs w:val="28"/>
        </w:rPr>
      </w:pPr>
      <w:r w:rsidRPr="00961BA6">
        <w:rPr>
          <w:rFonts w:ascii="Times New Roman" w:hAnsi="Times New Roman" w:cs="Times New Roman"/>
          <w:b/>
          <w:sz w:val="28"/>
          <w:szCs w:val="28"/>
        </w:rPr>
        <w:t>к Стандарту Фонда ВО</w:t>
      </w:r>
    </w:p>
    <w:p w14:paraId="0E69E650" w14:textId="77777777" w:rsidR="0079458B" w:rsidRPr="00961BA6" w:rsidRDefault="001916B1" w:rsidP="0079458B">
      <w:pPr>
        <w:spacing w:after="0"/>
        <w:ind w:left="5529" w:firstLine="0"/>
        <w:jc w:val="left"/>
        <w:rPr>
          <w:rFonts w:ascii="Times New Roman" w:hAnsi="Times New Roman" w:cs="Times New Roman"/>
          <w:b/>
          <w:sz w:val="28"/>
          <w:szCs w:val="28"/>
        </w:rPr>
      </w:pPr>
      <w:r w:rsidRPr="00961BA6">
        <w:rPr>
          <w:rFonts w:ascii="Times New Roman" w:hAnsi="Times New Roman" w:cs="Times New Roman"/>
          <w:b/>
          <w:sz w:val="28"/>
          <w:szCs w:val="28"/>
        </w:rPr>
        <w:t>Порядок обеспечения возврата займов, предоставленных в качестве финансирования проектов</w:t>
      </w:r>
    </w:p>
    <w:p w14:paraId="0FB535B3" w14:textId="77777777" w:rsidR="008A26EA" w:rsidRPr="00961BA6" w:rsidRDefault="008A26EA" w:rsidP="002A6566">
      <w:pPr>
        <w:spacing w:after="120"/>
        <w:jc w:val="center"/>
        <w:rPr>
          <w:rFonts w:ascii="Times New Roman" w:hAnsi="Times New Roman" w:cs="Times New Roman"/>
          <w:b/>
          <w:sz w:val="28"/>
          <w:szCs w:val="28"/>
        </w:rPr>
      </w:pPr>
    </w:p>
    <w:p w14:paraId="35D9D511" w14:textId="77777777" w:rsidR="00B57F23" w:rsidRPr="00961BA6" w:rsidRDefault="001916B1" w:rsidP="003C49B8">
      <w:pPr>
        <w:spacing w:after="120"/>
        <w:jc w:val="center"/>
        <w:rPr>
          <w:rFonts w:ascii="Times New Roman" w:hAnsi="Times New Roman" w:cs="Times New Roman"/>
          <w:b/>
          <w:sz w:val="28"/>
          <w:szCs w:val="28"/>
        </w:rPr>
      </w:pPr>
      <w:r w:rsidRPr="00961BA6">
        <w:rPr>
          <w:rFonts w:ascii="Times New Roman" w:hAnsi="Times New Roman" w:cs="Times New Roman"/>
          <w:b/>
          <w:sz w:val="28"/>
          <w:szCs w:val="28"/>
        </w:rPr>
        <w:t xml:space="preserve">Виды имущества, не принимаемого Фондами в качестве </w:t>
      </w:r>
    </w:p>
    <w:p w14:paraId="00CFBA22" w14:textId="77777777" w:rsidR="003C49B8" w:rsidRPr="00961BA6" w:rsidRDefault="001916B1" w:rsidP="003C49B8">
      <w:pPr>
        <w:spacing w:after="120"/>
        <w:jc w:val="center"/>
        <w:rPr>
          <w:rFonts w:ascii="Times New Roman" w:hAnsi="Times New Roman" w:cs="Times New Roman"/>
          <w:b/>
          <w:sz w:val="28"/>
          <w:szCs w:val="28"/>
        </w:rPr>
      </w:pPr>
      <w:r w:rsidRPr="00961BA6">
        <w:rPr>
          <w:rFonts w:ascii="Times New Roman" w:hAnsi="Times New Roman" w:cs="Times New Roman"/>
          <w:b/>
          <w:sz w:val="28"/>
          <w:szCs w:val="28"/>
        </w:rPr>
        <w:t xml:space="preserve">Обеспечения </w:t>
      </w:r>
    </w:p>
    <w:p w14:paraId="3C244C5F" w14:textId="77777777" w:rsidR="003C49B8" w:rsidRPr="00961BA6" w:rsidRDefault="001916B1" w:rsidP="00D11251">
      <w:pPr>
        <w:tabs>
          <w:tab w:val="left" w:pos="6112"/>
        </w:tabs>
        <w:spacing w:after="120"/>
        <w:jc w:val="left"/>
        <w:rPr>
          <w:rFonts w:ascii="Times New Roman" w:hAnsi="Times New Roman" w:cs="Times New Roman"/>
          <w:b/>
          <w:sz w:val="28"/>
          <w:szCs w:val="28"/>
        </w:rPr>
      </w:pPr>
      <w:r w:rsidRPr="00961BA6">
        <w:rPr>
          <w:rFonts w:ascii="Times New Roman" w:hAnsi="Times New Roman" w:cs="Times New Roman"/>
          <w:b/>
          <w:sz w:val="28"/>
          <w:szCs w:val="28"/>
        </w:rPr>
        <w:tab/>
      </w:r>
    </w:p>
    <w:p w14:paraId="57929DD2" w14:textId="77777777" w:rsidR="003C49B8" w:rsidRPr="00961BA6" w:rsidRDefault="001916B1" w:rsidP="002A6566">
      <w:pPr>
        <w:widowControl w:val="0"/>
        <w:numPr>
          <w:ilvl w:val="0"/>
          <w:numId w:val="11"/>
        </w:numPr>
        <w:tabs>
          <w:tab w:val="left" w:pos="851"/>
        </w:tabs>
        <w:autoSpaceDE w:val="0"/>
        <w:autoSpaceDN w:val="0"/>
        <w:adjustRightInd w:val="0"/>
        <w:spacing w:after="0"/>
        <w:ind w:left="0" w:firstLine="567"/>
        <w:rPr>
          <w:rFonts w:ascii="Times New Roman" w:hAnsi="Times New Roman" w:cs="Times New Roman"/>
          <w:sz w:val="28"/>
          <w:szCs w:val="28"/>
        </w:rPr>
      </w:pPr>
      <w:r w:rsidRPr="00961BA6">
        <w:rPr>
          <w:rFonts w:ascii="Times New Roman" w:hAnsi="Times New Roman" w:cs="Times New Roman"/>
          <w:bCs/>
          <w:sz w:val="28"/>
          <w:szCs w:val="28"/>
        </w:rPr>
        <w:t>Имущество, залог которого ограничен или запрещен законом (статья 336 Гражданского кодекса Российской Федерации):</w:t>
      </w:r>
    </w:p>
    <w:p w14:paraId="2EBD6745" w14:textId="77777777" w:rsidR="003C49B8" w:rsidRPr="00961BA6" w:rsidRDefault="001916B1" w:rsidP="004A4A58">
      <w:pPr>
        <w:pStyle w:val="a4"/>
        <w:widowControl w:val="0"/>
        <w:numPr>
          <w:ilvl w:val="0"/>
          <w:numId w:val="14"/>
        </w:numPr>
        <w:tabs>
          <w:tab w:val="left" w:pos="426"/>
          <w:tab w:val="left" w:pos="1134"/>
        </w:tabs>
        <w:autoSpaceDE w:val="0"/>
        <w:autoSpaceDN w:val="0"/>
        <w:adjustRightInd w:val="0"/>
        <w:spacing w:after="0"/>
        <w:ind w:left="0" w:firstLine="709"/>
        <w:rPr>
          <w:rFonts w:ascii="Times New Roman" w:hAnsi="Times New Roman" w:cs="Times New Roman"/>
          <w:bCs/>
          <w:sz w:val="28"/>
          <w:szCs w:val="28"/>
        </w:rPr>
      </w:pPr>
      <w:r w:rsidRPr="00961BA6">
        <w:rPr>
          <w:rFonts w:ascii="Times New Roman" w:hAnsi="Times New Roman" w:cs="Times New Roman"/>
          <w:bCs/>
          <w:sz w:val="28"/>
          <w:szCs w:val="28"/>
        </w:rPr>
        <w:t>объекты гражданских прав, ограниченные в обороте (статья 129 Гражданского кодекса Российской Федерации);</w:t>
      </w:r>
    </w:p>
    <w:p w14:paraId="332F7DB6" w14:textId="543E4FAF" w:rsidR="003C49B8" w:rsidRPr="00961BA6" w:rsidRDefault="001916B1" w:rsidP="004A4A58">
      <w:pPr>
        <w:pStyle w:val="a4"/>
        <w:widowControl w:val="0"/>
        <w:numPr>
          <w:ilvl w:val="0"/>
          <w:numId w:val="14"/>
        </w:numPr>
        <w:tabs>
          <w:tab w:val="left" w:pos="426"/>
          <w:tab w:val="left" w:pos="1134"/>
        </w:tabs>
        <w:autoSpaceDE w:val="0"/>
        <w:autoSpaceDN w:val="0"/>
        <w:adjustRightInd w:val="0"/>
        <w:spacing w:after="0"/>
        <w:ind w:left="0" w:firstLine="709"/>
        <w:rPr>
          <w:rFonts w:ascii="Times New Roman" w:hAnsi="Times New Roman" w:cs="Times New Roman"/>
          <w:bCs/>
          <w:sz w:val="28"/>
          <w:szCs w:val="28"/>
        </w:rPr>
      </w:pPr>
      <w:r w:rsidRPr="00961BA6">
        <w:rPr>
          <w:rFonts w:ascii="Times New Roman" w:hAnsi="Times New Roman" w:cs="Times New Roman"/>
          <w:bCs/>
          <w:sz w:val="28"/>
          <w:szCs w:val="28"/>
        </w:rPr>
        <w:t>имущество, которое не может свободно отчуждаться или переходить от одного лица к другому (пункт 1 статьи 129 Гражданского кодекса</w:t>
      </w:r>
      <w:r w:rsidR="00172F6B" w:rsidRPr="00961BA6">
        <w:rPr>
          <w:rFonts w:ascii="Times New Roman" w:hAnsi="Times New Roman" w:cs="Times New Roman"/>
          <w:bCs/>
          <w:sz w:val="28"/>
          <w:szCs w:val="28"/>
        </w:rPr>
        <w:t xml:space="preserve"> </w:t>
      </w:r>
      <w:r w:rsidRPr="00961BA6">
        <w:rPr>
          <w:rFonts w:ascii="Times New Roman" w:hAnsi="Times New Roman" w:cs="Times New Roman"/>
          <w:bCs/>
          <w:sz w:val="28"/>
          <w:szCs w:val="28"/>
        </w:rPr>
        <w:t>Российской Федерации);</w:t>
      </w:r>
    </w:p>
    <w:p w14:paraId="3FF67912" w14:textId="77777777" w:rsidR="003C49B8" w:rsidRPr="00961BA6" w:rsidRDefault="001916B1" w:rsidP="004A4A58">
      <w:pPr>
        <w:pStyle w:val="a4"/>
        <w:widowControl w:val="0"/>
        <w:numPr>
          <w:ilvl w:val="0"/>
          <w:numId w:val="14"/>
        </w:numPr>
        <w:tabs>
          <w:tab w:val="left" w:pos="426"/>
          <w:tab w:val="left" w:pos="1134"/>
        </w:tabs>
        <w:autoSpaceDE w:val="0"/>
        <w:autoSpaceDN w:val="0"/>
        <w:adjustRightInd w:val="0"/>
        <w:ind w:left="0" w:firstLine="709"/>
        <w:rPr>
          <w:rFonts w:ascii="Times New Roman" w:hAnsi="Times New Roman" w:cs="Times New Roman"/>
          <w:bCs/>
          <w:sz w:val="28"/>
          <w:szCs w:val="28"/>
        </w:rPr>
      </w:pPr>
      <w:r w:rsidRPr="00961BA6">
        <w:rPr>
          <w:rFonts w:ascii="Times New Roman" w:hAnsi="Times New Roman" w:cs="Times New Roman"/>
          <w:bCs/>
          <w:sz w:val="28"/>
          <w:szCs w:val="28"/>
        </w:rPr>
        <w:t xml:space="preserve">виды объектов гражданских прав, в отношении которых введены ограничения </w:t>
      </w:r>
      <w:proofErr w:type="spellStart"/>
      <w:r w:rsidRPr="00961BA6">
        <w:rPr>
          <w:rFonts w:ascii="Times New Roman" w:hAnsi="Times New Roman" w:cs="Times New Roman"/>
          <w:bCs/>
          <w:sz w:val="28"/>
          <w:szCs w:val="28"/>
        </w:rPr>
        <w:t>оборотоспособности</w:t>
      </w:r>
      <w:proofErr w:type="spellEnd"/>
      <w:r w:rsidRPr="00961BA6">
        <w:rPr>
          <w:rFonts w:ascii="Times New Roman" w:hAnsi="Times New Roman" w:cs="Times New Roman"/>
          <w:bCs/>
          <w:sz w:val="28"/>
          <w:szCs w:val="28"/>
        </w:rPr>
        <w:t xml:space="preserve"> (пункт 2 статьи 129 Гражданского кодекса Российской Федерации).</w:t>
      </w:r>
    </w:p>
    <w:p w14:paraId="6D8F8C17" w14:textId="77777777" w:rsidR="003C49B8" w:rsidRPr="00961BA6" w:rsidRDefault="001916B1" w:rsidP="007F0413">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Имущество, свободная реализация которого запрещена в соответствии с законодательством РФ: вооружение, боеприпасы, военная техника, все виды ракетного топлива, ракетно-космические комплексы, системы связи и управления военного назначения и т.д.</w:t>
      </w:r>
    </w:p>
    <w:p w14:paraId="36FE456B" w14:textId="77777777" w:rsidR="003C49B8" w:rsidRPr="00961BA6" w:rsidRDefault="001916B1" w:rsidP="002A6566">
      <w:pPr>
        <w:widowControl w:val="0"/>
        <w:numPr>
          <w:ilvl w:val="0"/>
          <w:numId w:val="11"/>
        </w:numPr>
        <w:tabs>
          <w:tab w:val="left" w:pos="851"/>
        </w:tabs>
        <w:autoSpaceDE w:val="0"/>
        <w:autoSpaceDN w:val="0"/>
        <w:adjustRightInd w:val="0"/>
        <w:spacing w:after="0"/>
        <w:ind w:left="0" w:firstLine="567"/>
        <w:rPr>
          <w:rFonts w:ascii="Times New Roman" w:hAnsi="Times New Roman" w:cs="Times New Roman"/>
          <w:bCs/>
          <w:sz w:val="28"/>
          <w:szCs w:val="28"/>
        </w:rPr>
      </w:pPr>
      <w:r w:rsidRPr="00961BA6">
        <w:rPr>
          <w:rFonts w:ascii="Times New Roman" w:hAnsi="Times New Roman" w:cs="Times New Roman"/>
          <w:bCs/>
          <w:sz w:val="28"/>
          <w:szCs w:val="28"/>
        </w:rPr>
        <w:t xml:space="preserve">Земельные участки, перечисленные в статье 27 Земельного кодекса Российской Федерации: </w:t>
      </w:r>
    </w:p>
    <w:p w14:paraId="53B9E579" w14:textId="77777777" w:rsidR="003C49B8" w:rsidRPr="00961BA6" w:rsidRDefault="001916B1" w:rsidP="004A4A58">
      <w:pPr>
        <w:pStyle w:val="a4"/>
        <w:widowControl w:val="0"/>
        <w:numPr>
          <w:ilvl w:val="0"/>
          <w:numId w:val="14"/>
        </w:numPr>
        <w:tabs>
          <w:tab w:val="left" w:pos="426"/>
          <w:tab w:val="left" w:pos="1134"/>
        </w:tabs>
        <w:autoSpaceDE w:val="0"/>
        <w:autoSpaceDN w:val="0"/>
        <w:adjustRightInd w:val="0"/>
        <w:spacing w:after="0"/>
        <w:ind w:left="0" w:firstLine="709"/>
        <w:rPr>
          <w:rFonts w:ascii="Times New Roman" w:hAnsi="Times New Roman" w:cs="Times New Roman"/>
          <w:bCs/>
          <w:sz w:val="28"/>
          <w:szCs w:val="28"/>
        </w:rPr>
      </w:pPr>
      <w:r w:rsidRPr="00961BA6">
        <w:rPr>
          <w:rFonts w:ascii="Times New Roman" w:hAnsi="Times New Roman" w:cs="Times New Roman"/>
          <w:bCs/>
          <w:sz w:val="28"/>
          <w:szCs w:val="28"/>
        </w:rPr>
        <w:t>находящиеся в государственной или муниципальной собственности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 т.д.;</w:t>
      </w:r>
    </w:p>
    <w:p w14:paraId="1DA5375D" w14:textId="77777777" w:rsidR="003C49B8" w:rsidRPr="00961BA6" w:rsidRDefault="001916B1" w:rsidP="004A4A58">
      <w:pPr>
        <w:pStyle w:val="a4"/>
        <w:widowControl w:val="0"/>
        <w:numPr>
          <w:ilvl w:val="0"/>
          <w:numId w:val="14"/>
        </w:numPr>
        <w:tabs>
          <w:tab w:val="left" w:pos="426"/>
          <w:tab w:val="left" w:pos="1134"/>
        </w:tabs>
        <w:autoSpaceDE w:val="0"/>
        <w:autoSpaceDN w:val="0"/>
        <w:adjustRightInd w:val="0"/>
        <w:spacing w:after="0"/>
        <w:ind w:left="0" w:firstLine="709"/>
        <w:rPr>
          <w:rFonts w:ascii="Times New Roman" w:hAnsi="Times New Roman" w:cs="Times New Roman"/>
          <w:bCs/>
          <w:sz w:val="28"/>
          <w:szCs w:val="28"/>
        </w:rPr>
      </w:pPr>
      <w:r w:rsidRPr="00961BA6">
        <w:rPr>
          <w:rFonts w:ascii="Times New Roman" w:hAnsi="Times New Roman" w:cs="Times New Roman"/>
          <w:bCs/>
          <w:sz w:val="28"/>
          <w:szCs w:val="28"/>
        </w:rPr>
        <w:t xml:space="preserve">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w:t>
      </w:r>
      <w:r w:rsidRPr="00961BA6">
        <w:rPr>
          <w:rFonts w:ascii="Times New Roman" w:hAnsi="Times New Roman" w:cs="Times New Roman"/>
          <w:bCs/>
          <w:sz w:val="28"/>
          <w:szCs w:val="28"/>
        </w:rPr>
        <w:lastRenderedPageBreak/>
        <w:t>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 материалов и радиоактивных веществ, объектами, в соответствии с видами деятельности которых созданы закрытые административно-территориальные образования, объектами учреждений и органов Федеральной службы исполнения наказаний и т.д.</w:t>
      </w:r>
    </w:p>
    <w:p w14:paraId="6649AD8B" w14:textId="77777777" w:rsidR="003C49B8" w:rsidRPr="00961BA6"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Земельные участки, относящиеся к лесному фонду (статья 8 Лесного кодекса Российской Федерации).</w:t>
      </w:r>
    </w:p>
    <w:p w14:paraId="3393A7A1" w14:textId="77777777" w:rsidR="003C49B8" w:rsidRPr="00961BA6"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 xml:space="preserve">Участки недр (статья 12 Закона РФ от 21.02.1992 № 2395-1 </w:t>
      </w:r>
      <w:r w:rsidR="00CE6D06" w:rsidRPr="00961BA6">
        <w:rPr>
          <w:rFonts w:ascii="Times New Roman" w:hAnsi="Times New Roman" w:cs="Times New Roman"/>
          <w:bCs/>
          <w:sz w:val="28"/>
          <w:szCs w:val="28"/>
        </w:rPr>
        <w:t>«</w:t>
      </w:r>
      <w:r w:rsidRPr="00961BA6">
        <w:rPr>
          <w:rFonts w:ascii="Times New Roman" w:hAnsi="Times New Roman" w:cs="Times New Roman"/>
          <w:bCs/>
          <w:sz w:val="28"/>
          <w:szCs w:val="28"/>
        </w:rPr>
        <w:t>О недрах</w:t>
      </w:r>
      <w:r w:rsidR="00CE6D06" w:rsidRPr="00961BA6">
        <w:rPr>
          <w:rFonts w:ascii="Times New Roman" w:hAnsi="Times New Roman" w:cs="Times New Roman"/>
          <w:bCs/>
          <w:sz w:val="28"/>
          <w:szCs w:val="28"/>
        </w:rPr>
        <w:t>»</w:t>
      </w:r>
      <w:r w:rsidRPr="00961BA6">
        <w:rPr>
          <w:rFonts w:ascii="Times New Roman" w:hAnsi="Times New Roman" w:cs="Times New Roman"/>
          <w:bCs/>
          <w:sz w:val="28"/>
          <w:szCs w:val="28"/>
        </w:rPr>
        <w:t>).</w:t>
      </w:r>
    </w:p>
    <w:p w14:paraId="4292A82D" w14:textId="77777777" w:rsidR="003C49B8" w:rsidRPr="00961BA6"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 xml:space="preserve">Часть земельного участка, площадь которого меньше минимального размера, установленного нормативными актами субъектов РФ и нормативными актами органов местного самоуправления для земель различного и разрешенного использования (статья 63 Федерального закона от 16.07.1998 № 102-ФЗ </w:t>
      </w:r>
      <w:r w:rsidR="00CE6D06" w:rsidRPr="00961BA6">
        <w:rPr>
          <w:rFonts w:ascii="Times New Roman" w:hAnsi="Times New Roman" w:cs="Times New Roman"/>
          <w:bCs/>
          <w:sz w:val="28"/>
          <w:szCs w:val="28"/>
        </w:rPr>
        <w:t>«</w:t>
      </w:r>
      <w:r w:rsidRPr="00961BA6">
        <w:rPr>
          <w:rFonts w:ascii="Times New Roman" w:hAnsi="Times New Roman" w:cs="Times New Roman"/>
          <w:bCs/>
          <w:sz w:val="28"/>
          <w:szCs w:val="28"/>
        </w:rPr>
        <w:t>Об ипотеке (залоге недвижимости)</w:t>
      </w:r>
      <w:r w:rsidR="00CE6D06" w:rsidRPr="00961BA6">
        <w:rPr>
          <w:rFonts w:ascii="Times New Roman" w:hAnsi="Times New Roman" w:cs="Times New Roman"/>
          <w:bCs/>
          <w:sz w:val="28"/>
          <w:szCs w:val="28"/>
        </w:rPr>
        <w:t>»</w:t>
      </w:r>
      <w:r w:rsidRPr="00961BA6">
        <w:rPr>
          <w:rFonts w:ascii="Times New Roman" w:hAnsi="Times New Roman" w:cs="Times New Roman"/>
          <w:bCs/>
          <w:sz w:val="28"/>
          <w:szCs w:val="28"/>
        </w:rPr>
        <w:t>).</w:t>
      </w:r>
    </w:p>
    <w:p w14:paraId="0F4A9447" w14:textId="77777777" w:rsidR="003C49B8" w:rsidRPr="00961BA6"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 xml:space="preserve">Доли в праве собственности на земельный участок (статья 62 Федерального закона от 16.07.1998 № 102-ФЗ   </w:t>
      </w:r>
      <w:r w:rsidR="00CE6D06" w:rsidRPr="00961BA6">
        <w:rPr>
          <w:rFonts w:ascii="Times New Roman" w:hAnsi="Times New Roman" w:cs="Times New Roman"/>
          <w:bCs/>
          <w:sz w:val="28"/>
          <w:szCs w:val="28"/>
        </w:rPr>
        <w:t>«</w:t>
      </w:r>
      <w:r w:rsidRPr="00961BA6">
        <w:rPr>
          <w:rFonts w:ascii="Times New Roman" w:hAnsi="Times New Roman" w:cs="Times New Roman"/>
          <w:bCs/>
          <w:sz w:val="28"/>
          <w:szCs w:val="28"/>
        </w:rPr>
        <w:t>Об ипотеке (залоге недвижимости)</w:t>
      </w:r>
      <w:r w:rsidR="00CE6D06" w:rsidRPr="00961BA6">
        <w:rPr>
          <w:rFonts w:ascii="Times New Roman" w:hAnsi="Times New Roman" w:cs="Times New Roman"/>
          <w:bCs/>
          <w:sz w:val="28"/>
          <w:szCs w:val="28"/>
        </w:rPr>
        <w:t>»</w:t>
      </w:r>
      <w:r w:rsidRPr="00961BA6">
        <w:rPr>
          <w:rFonts w:ascii="Times New Roman" w:hAnsi="Times New Roman" w:cs="Times New Roman"/>
          <w:bCs/>
          <w:sz w:val="28"/>
          <w:szCs w:val="28"/>
        </w:rPr>
        <w:t xml:space="preserve">), кроме случая залога доли в праве собственности на земельный участок одновременно с залогом здания, сооружения, помещения (статья 69 Федерального закона от 16.07.1998 № 102-ФЗ   </w:t>
      </w:r>
      <w:r w:rsidR="00CE6D06" w:rsidRPr="00961BA6">
        <w:rPr>
          <w:rFonts w:ascii="Times New Roman" w:hAnsi="Times New Roman" w:cs="Times New Roman"/>
          <w:bCs/>
          <w:sz w:val="28"/>
          <w:szCs w:val="28"/>
        </w:rPr>
        <w:t>«</w:t>
      </w:r>
      <w:r w:rsidRPr="00961BA6">
        <w:rPr>
          <w:rFonts w:ascii="Times New Roman" w:hAnsi="Times New Roman" w:cs="Times New Roman"/>
          <w:bCs/>
          <w:sz w:val="28"/>
          <w:szCs w:val="28"/>
        </w:rPr>
        <w:t>Об ипотеке (залоге недвижимости)</w:t>
      </w:r>
      <w:r w:rsidR="00CE6D06" w:rsidRPr="00961BA6">
        <w:rPr>
          <w:rFonts w:ascii="Times New Roman" w:hAnsi="Times New Roman" w:cs="Times New Roman"/>
          <w:bCs/>
          <w:sz w:val="28"/>
          <w:szCs w:val="28"/>
        </w:rPr>
        <w:t>»</w:t>
      </w:r>
      <w:r w:rsidRPr="00961BA6">
        <w:rPr>
          <w:rFonts w:ascii="Times New Roman" w:hAnsi="Times New Roman" w:cs="Times New Roman"/>
          <w:bCs/>
          <w:sz w:val="28"/>
          <w:szCs w:val="28"/>
        </w:rPr>
        <w:t>).</w:t>
      </w:r>
    </w:p>
    <w:p w14:paraId="3B2717AC" w14:textId="77777777" w:rsidR="003C49B8" w:rsidRPr="00961BA6"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 xml:space="preserve">Недвижимое имущество граждан, на которое в соответствии с законодательством не может быть обращено взыскание (статьей 446 Гражданского процессуального кодекса Российской Федерации). </w:t>
      </w:r>
    </w:p>
    <w:p w14:paraId="65C3FDF2" w14:textId="77777777" w:rsidR="003C49B8" w:rsidRPr="00961BA6"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 xml:space="preserve">Другие объекты гражданских прав, на которые в соответствии с законом не может быть обращено взыскание, изъятые из оборота, свободная реализация которых запрещена. </w:t>
      </w:r>
    </w:p>
    <w:p w14:paraId="2AF20C4D" w14:textId="77777777" w:rsidR="003448ED" w:rsidRPr="00961BA6"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Земельные участки сельскохозяйственного назначения.</w:t>
      </w:r>
    </w:p>
    <w:p w14:paraId="22CEA238" w14:textId="77777777" w:rsidR="003A753C" w:rsidRPr="00961BA6"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Государственное или муниципальное имущество, переданное юридическим лицам на праве оперативного управления или хозяйственного ведения, за исключением имущества государственных унитарных предприятий и муниципальных унитарных предприятий, отчуждение которого не лишит предприятие возможности осуществлять деятельность, цели, предмет, виды которой определены уставом такого предприятия.</w:t>
      </w:r>
    </w:p>
    <w:p w14:paraId="6C31F351" w14:textId="48C7A9AD" w:rsidR="00355581" w:rsidRPr="00961BA6"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Машины и оборудование для нефтедобычи и обслуживания скважин</w:t>
      </w:r>
      <w:r w:rsidR="00B73221" w:rsidRPr="00961BA6">
        <w:rPr>
          <w:rFonts w:ascii="Times New Roman" w:hAnsi="Times New Roman" w:cs="Times New Roman"/>
          <w:bCs/>
          <w:sz w:val="28"/>
          <w:szCs w:val="28"/>
        </w:rPr>
        <w:t xml:space="preserve"> </w:t>
      </w:r>
      <w:r w:rsidRPr="00961BA6">
        <w:rPr>
          <w:rFonts w:ascii="Times New Roman" w:hAnsi="Times New Roman" w:cs="Times New Roman"/>
          <w:bCs/>
          <w:sz w:val="28"/>
          <w:szCs w:val="28"/>
        </w:rPr>
        <w:t>(за исключением мобильных/передвижных).</w:t>
      </w:r>
    </w:p>
    <w:p w14:paraId="53505460" w14:textId="77777777" w:rsidR="00BF690B" w:rsidRPr="00961BA6"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 xml:space="preserve">Охраняемые результаты интеллектуальной деятельности и приравненные к ним средства индивидуализации (интеллектуальная </w:t>
      </w:r>
      <w:r w:rsidRPr="00961BA6">
        <w:rPr>
          <w:rFonts w:ascii="Times New Roman" w:hAnsi="Times New Roman" w:cs="Times New Roman"/>
          <w:bCs/>
          <w:sz w:val="28"/>
          <w:szCs w:val="28"/>
        </w:rPr>
        <w:lastRenderedPageBreak/>
        <w:t>собственность).</w:t>
      </w:r>
    </w:p>
    <w:p w14:paraId="4BC1BAB8" w14:textId="77777777" w:rsidR="00AA513E" w:rsidRPr="00961BA6"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Права пользования (аренда) имуществом, за исключением случаев, прямо указанных в настоящем стандарте.</w:t>
      </w:r>
    </w:p>
    <w:p w14:paraId="6225087F" w14:textId="77777777" w:rsidR="00AA513E" w:rsidRPr="00961BA6"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Обязательственные права (право требования) по договорам (контрактам).</w:t>
      </w:r>
    </w:p>
    <w:p w14:paraId="41C3E04E" w14:textId="77777777" w:rsidR="005812FB" w:rsidRPr="00961BA6"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961BA6">
        <w:rPr>
          <w:rFonts w:ascii="Times New Roman" w:hAnsi="Times New Roman" w:cs="Times New Roman"/>
          <w:bCs/>
          <w:sz w:val="28"/>
          <w:szCs w:val="28"/>
        </w:rPr>
        <w:t>Имущество, находящееся за пределами Российской Федерации.</w:t>
      </w:r>
    </w:p>
    <w:p w14:paraId="1280E6F5" w14:textId="77777777" w:rsidR="00F50C96" w:rsidRPr="00961BA6" w:rsidRDefault="001916B1" w:rsidP="002A6566">
      <w:pPr>
        <w:pStyle w:val="TableParagraph"/>
        <w:numPr>
          <w:ilvl w:val="0"/>
          <w:numId w:val="11"/>
        </w:numPr>
        <w:tabs>
          <w:tab w:val="left" w:pos="1134"/>
        </w:tabs>
        <w:spacing w:after="200"/>
        <w:ind w:left="0" w:right="142" w:firstLine="567"/>
        <w:jc w:val="both"/>
        <w:rPr>
          <w:rFonts w:ascii="Times New Roman" w:hAnsi="Times New Roman" w:cs="Times New Roman"/>
          <w:sz w:val="28"/>
          <w:szCs w:val="28"/>
          <w:lang w:val="ru-RU"/>
        </w:rPr>
      </w:pPr>
      <w:r w:rsidRPr="00961BA6">
        <w:rPr>
          <w:rFonts w:ascii="Times New Roman" w:hAnsi="Times New Roman" w:cs="Times New Roman"/>
          <w:sz w:val="28"/>
          <w:szCs w:val="28"/>
          <w:lang w:val="ru-RU"/>
        </w:rPr>
        <w:t>Государственные и корпоративные облигации, номинированные в рублях и обращающиеся на российском биржевом рынке;</w:t>
      </w:r>
    </w:p>
    <w:p w14:paraId="7628F794" w14:textId="77777777" w:rsidR="00760607" w:rsidRPr="00961BA6" w:rsidRDefault="001916B1" w:rsidP="002A6566">
      <w:pPr>
        <w:pStyle w:val="TableParagraph"/>
        <w:numPr>
          <w:ilvl w:val="0"/>
          <w:numId w:val="11"/>
        </w:numPr>
        <w:tabs>
          <w:tab w:val="left" w:pos="1134"/>
        </w:tabs>
        <w:ind w:left="0" w:right="142" w:firstLine="567"/>
        <w:jc w:val="both"/>
        <w:rPr>
          <w:rFonts w:ascii="Times New Roman" w:hAnsi="Times New Roman" w:cs="Times New Roman"/>
          <w:sz w:val="28"/>
          <w:szCs w:val="28"/>
          <w:lang w:val="ru-RU"/>
        </w:rPr>
      </w:pPr>
      <w:r w:rsidRPr="00961BA6">
        <w:rPr>
          <w:rFonts w:ascii="Times New Roman" w:hAnsi="Times New Roman" w:cs="Times New Roman"/>
          <w:sz w:val="28"/>
          <w:szCs w:val="28"/>
          <w:lang w:val="ru-RU"/>
        </w:rPr>
        <w:t>Акции юридических лиц и доли участия в уставном капитале юридических лиц.</w:t>
      </w:r>
      <w:r w:rsidRPr="00961BA6">
        <w:rPr>
          <w:rFonts w:ascii="Times New Roman" w:hAnsi="Times New Roman" w:cs="Times New Roman"/>
          <w:sz w:val="28"/>
          <w:szCs w:val="28"/>
          <w:vertAlign w:val="superscript"/>
        </w:rPr>
        <w:footnoteReference w:id="9"/>
      </w:r>
    </w:p>
    <w:sectPr w:rsidR="00760607" w:rsidRPr="00961BA6" w:rsidSect="002A6566">
      <w:headerReference w:type="default" r:id="rId13"/>
      <w:footerReference w:type="default" r:id="rId14"/>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8E4D" w14:textId="77777777" w:rsidR="00D70599" w:rsidRDefault="00D70599" w:rsidP="00E828AB">
      <w:pPr>
        <w:spacing w:after="0"/>
      </w:pPr>
      <w:r>
        <w:separator/>
      </w:r>
    </w:p>
  </w:endnote>
  <w:endnote w:type="continuationSeparator" w:id="0">
    <w:p w14:paraId="1079C0ED" w14:textId="77777777" w:rsidR="00D70599" w:rsidRDefault="00D70599" w:rsidP="00E828AB">
      <w:pPr>
        <w:spacing w:after="0"/>
      </w:pPr>
      <w:r>
        <w:continuationSeparator/>
      </w:r>
    </w:p>
  </w:endnote>
  <w:endnote w:type="continuationNotice" w:id="1">
    <w:p w14:paraId="34D56356" w14:textId="77777777" w:rsidR="00D70599" w:rsidRDefault="00D705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600D" w14:textId="77777777" w:rsidR="001B1B49" w:rsidRDefault="001B1B49">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2CDA" w14:textId="77777777" w:rsidR="00D70599" w:rsidRDefault="00D70599" w:rsidP="00E828AB">
      <w:pPr>
        <w:spacing w:after="0"/>
      </w:pPr>
      <w:r>
        <w:separator/>
      </w:r>
    </w:p>
  </w:footnote>
  <w:footnote w:type="continuationSeparator" w:id="0">
    <w:p w14:paraId="4554C291" w14:textId="77777777" w:rsidR="00D70599" w:rsidRDefault="00D70599" w:rsidP="00E828AB">
      <w:pPr>
        <w:spacing w:after="0"/>
      </w:pPr>
      <w:r>
        <w:continuationSeparator/>
      </w:r>
    </w:p>
  </w:footnote>
  <w:footnote w:type="continuationNotice" w:id="1">
    <w:p w14:paraId="591B5360" w14:textId="77777777" w:rsidR="00D70599" w:rsidRDefault="00D70599">
      <w:pPr>
        <w:spacing w:after="0"/>
      </w:pPr>
    </w:p>
  </w:footnote>
  <w:footnote w:id="2">
    <w:p w14:paraId="0AACFE0B" w14:textId="4A5E59CA" w:rsidR="001B1B49" w:rsidRPr="00961BA6" w:rsidRDefault="001B1B49">
      <w:pPr>
        <w:pStyle w:val="a6"/>
        <w:rPr>
          <w:rFonts w:ascii="Times New Roman" w:hAnsi="Times New Roman" w:cs="Times New Roman"/>
        </w:rPr>
      </w:pPr>
      <w:r w:rsidRPr="00961BA6">
        <w:rPr>
          <w:rStyle w:val="a8"/>
          <w:rFonts w:ascii="Times New Roman" w:hAnsi="Times New Roman"/>
        </w:rPr>
        <w:footnoteRef/>
      </w:r>
      <w:r w:rsidR="00B01477" w:rsidRPr="00961BA6">
        <w:rPr>
          <w:rFonts w:ascii="Times New Roman" w:eastAsia="Times New Roman" w:hAnsi="Times New Roman" w:cs="Times New Roman"/>
          <w:lang w:eastAsia="ru-RU"/>
        </w:rPr>
        <w:t xml:space="preserve"> </w:t>
      </w:r>
      <w:r w:rsidRPr="00961BA6">
        <w:rPr>
          <w:rFonts w:ascii="Times New Roman" w:eastAsia="Times New Roman" w:hAnsi="Times New Roman" w:cs="Times New Roman"/>
          <w:lang w:eastAsia="ru-RU"/>
        </w:rPr>
        <w:t>Определяется в зависимости от прогнозируемого срока реализации актива на свободном рынке по рыночной стоимости.</w:t>
      </w:r>
    </w:p>
  </w:footnote>
  <w:footnote w:id="3">
    <w:p w14:paraId="6420325F" w14:textId="77995739" w:rsidR="00497052" w:rsidRPr="00961BA6" w:rsidRDefault="00497052" w:rsidP="00497052">
      <w:pPr>
        <w:pStyle w:val="a6"/>
        <w:rPr>
          <w:rFonts w:ascii="Times New Roman" w:hAnsi="Times New Roman" w:cs="Times New Roman"/>
        </w:rPr>
      </w:pPr>
      <w:r w:rsidRPr="00961BA6">
        <w:rPr>
          <w:rStyle w:val="a8"/>
          <w:rFonts w:ascii="Times New Roman" w:hAnsi="Times New Roman"/>
        </w:rPr>
        <w:footnoteRef/>
      </w:r>
      <w:r w:rsidRPr="00961BA6">
        <w:rPr>
          <w:rFonts w:ascii="Times New Roman" w:hAnsi="Times New Roman" w:cs="Times New Roman"/>
        </w:rPr>
        <w:t xml:space="preserve"> Перечень Расчетных банков для открытия счетов Заемщиками с целью ведения обособленного учета средств, предоставленных Фондом в виде целевого займа (размещен на сайте Фонда).</w:t>
      </w:r>
    </w:p>
  </w:footnote>
  <w:footnote w:id="4">
    <w:p w14:paraId="299AB042" w14:textId="2661E592" w:rsidR="001B1B49" w:rsidRPr="008633B8" w:rsidRDefault="001B1B49">
      <w:pPr>
        <w:pStyle w:val="a6"/>
        <w:rPr>
          <w:rFonts w:ascii="Times New Roman" w:hAnsi="Times New Roman" w:cs="Times New Roman"/>
        </w:rPr>
      </w:pPr>
      <w:r w:rsidRPr="008633B8">
        <w:rPr>
          <w:rStyle w:val="a8"/>
          <w:rFonts w:ascii="Times New Roman" w:hAnsi="Times New Roman"/>
        </w:rPr>
        <w:footnoteRef/>
      </w:r>
      <w:r w:rsidR="00B01477" w:rsidRPr="008633B8">
        <w:rPr>
          <w:rFonts w:ascii="Times New Roman" w:hAnsi="Times New Roman" w:cs="Times New Roman"/>
        </w:rPr>
        <w:t xml:space="preserve"> </w:t>
      </w:r>
      <w:r w:rsidRPr="008633B8">
        <w:rPr>
          <w:rFonts w:ascii="Times New Roman" w:hAnsi="Times New Roman" w:cs="Times New Roman"/>
        </w:rPr>
        <w:t>В случае если стандарт</w:t>
      </w:r>
      <w:r w:rsidR="00AB71CC" w:rsidRPr="008633B8">
        <w:rPr>
          <w:rFonts w:ascii="Times New Roman" w:hAnsi="Times New Roman" w:cs="Times New Roman"/>
        </w:rPr>
        <w:t>ами</w:t>
      </w:r>
      <w:r w:rsidRPr="008633B8">
        <w:rPr>
          <w:rFonts w:ascii="Times New Roman" w:hAnsi="Times New Roman" w:cs="Times New Roman"/>
        </w:rPr>
        <w:t xml:space="preserve"> Фонд</w:t>
      </w:r>
      <w:r w:rsidR="00284FFF" w:rsidRPr="008633B8">
        <w:rPr>
          <w:rFonts w:ascii="Times New Roman" w:hAnsi="Times New Roman" w:cs="Times New Roman"/>
        </w:rPr>
        <w:t>а</w:t>
      </w:r>
      <w:r w:rsidR="004C2718" w:rsidRPr="008633B8">
        <w:rPr>
          <w:rFonts w:ascii="Times New Roman" w:hAnsi="Times New Roman" w:cs="Times New Roman"/>
          <w:u w:val="single"/>
        </w:rPr>
        <w:t xml:space="preserve"> </w:t>
      </w:r>
      <w:r w:rsidRPr="008633B8">
        <w:rPr>
          <w:rFonts w:ascii="Times New Roman" w:hAnsi="Times New Roman" w:cs="Times New Roman"/>
        </w:rPr>
        <w:t xml:space="preserve">не установлено иное. </w:t>
      </w:r>
    </w:p>
  </w:footnote>
  <w:footnote w:id="5">
    <w:p w14:paraId="3A30CECC" w14:textId="72580012" w:rsidR="00B64259" w:rsidRPr="008633B8" w:rsidRDefault="00B64259">
      <w:pPr>
        <w:pStyle w:val="a6"/>
        <w:rPr>
          <w:rFonts w:ascii="Times New Roman" w:hAnsi="Times New Roman" w:cs="Times New Roman"/>
        </w:rPr>
      </w:pPr>
      <w:r w:rsidRPr="008633B8">
        <w:rPr>
          <w:rStyle w:val="a8"/>
          <w:rFonts w:ascii="Times New Roman" w:hAnsi="Times New Roman"/>
        </w:rPr>
        <w:footnoteRef/>
      </w:r>
      <w:r w:rsidR="00B01477" w:rsidRPr="008633B8">
        <w:rPr>
          <w:rFonts w:ascii="Times New Roman" w:hAnsi="Times New Roman" w:cs="Times New Roman"/>
        </w:rPr>
        <w:t xml:space="preserve"> </w:t>
      </w:r>
      <w:r w:rsidR="005132D8" w:rsidRPr="008633B8">
        <w:rPr>
          <w:rFonts w:ascii="Times New Roman" w:hAnsi="Times New Roman" w:cs="Times New Roman"/>
        </w:rPr>
        <w:t>Здесь и далее балансовая стоимость активов Заемщика определяется на основании бухгалтерской (финансовой) отчетности, предоставленной Фонду в соответствии с договором займа за последний отчетный период, либо, при отсутствии таковой, предоставленной за последний отчетный период по данным информационного ресурса в сети Интернет</w:t>
      </w:r>
      <w:r w:rsidR="006225DC" w:rsidRPr="008633B8">
        <w:rPr>
          <w:rFonts w:ascii="Times New Roman" w:hAnsi="Times New Roman" w:cs="Times New Roman"/>
        </w:rPr>
        <w:t xml:space="preserve"> - </w:t>
      </w:r>
      <w:r w:rsidR="005132D8" w:rsidRPr="008633B8">
        <w:rPr>
          <w:rFonts w:ascii="Times New Roman" w:hAnsi="Times New Roman" w:cs="Times New Roman"/>
        </w:rPr>
        <w:t xml:space="preserve">Государственный информационный ресурс бухгалтерской (финансовой) отчетности </w:t>
      </w:r>
      <w:hyperlink r:id="rId1" w:history="1">
        <w:r w:rsidR="006225DC" w:rsidRPr="008633B8">
          <w:rPr>
            <w:rStyle w:val="af3"/>
            <w:rFonts w:ascii="Times New Roman" w:hAnsi="Times New Roman" w:cs="Times New Roman"/>
          </w:rPr>
          <w:t>https://bo.nalog.ru/</w:t>
        </w:r>
      </w:hyperlink>
      <w:r w:rsidR="006225DC" w:rsidRPr="008633B8">
        <w:rPr>
          <w:rFonts w:ascii="Times New Roman" w:hAnsi="Times New Roman" w:cs="Times New Roman"/>
        </w:rPr>
        <w:t xml:space="preserve"> </w:t>
      </w:r>
    </w:p>
  </w:footnote>
  <w:footnote w:id="6">
    <w:p w14:paraId="2E6899A9" w14:textId="5493279E" w:rsidR="001B1B49" w:rsidRPr="008633B8" w:rsidRDefault="001B1B49" w:rsidP="000E184F">
      <w:pPr>
        <w:pStyle w:val="a6"/>
        <w:rPr>
          <w:rFonts w:ascii="Times New Roman" w:hAnsi="Times New Roman" w:cs="Times New Roman"/>
        </w:rPr>
      </w:pPr>
      <w:r w:rsidRPr="008633B8">
        <w:rPr>
          <w:rStyle w:val="a8"/>
          <w:rFonts w:ascii="Times New Roman" w:hAnsi="Times New Roman"/>
        </w:rPr>
        <w:footnoteRef/>
      </w:r>
      <w:r w:rsidR="00865FCF" w:rsidRPr="008633B8">
        <w:rPr>
          <w:rFonts w:ascii="Times New Roman" w:hAnsi="Times New Roman" w:cs="Times New Roman"/>
        </w:rPr>
        <w:t xml:space="preserve"> </w:t>
      </w:r>
      <w:r w:rsidRPr="008633B8">
        <w:rPr>
          <w:rFonts w:ascii="Times New Roman" w:hAnsi="Times New Roman" w:cs="Times New Roman"/>
        </w:rPr>
        <w:t>Международные организации, поручительства и независимые гарантии которых принимаются Фондами в качестве Основного обеспечения по финансируемым проектам, определяются отдельным решением Наблюдательного совета Фонда.</w:t>
      </w:r>
    </w:p>
  </w:footnote>
  <w:footnote w:id="7">
    <w:p w14:paraId="7DDBBF62" w14:textId="2C63BDB4" w:rsidR="001B1B49" w:rsidRPr="008633B8" w:rsidRDefault="001B1B49" w:rsidP="000E184F">
      <w:pPr>
        <w:pStyle w:val="a6"/>
        <w:rPr>
          <w:rFonts w:ascii="Times New Roman" w:hAnsi="Times New Roman" w:cs="Times New Roman"/>
        </w:rPr>
      </w:pPr>
      <w:r w:rsidRPr="008633B8">
        <w:rPr>
          <w:rStyle w:val="a8"/>
          <w:rFonts w:ascii="Times New Roman" w:hAnsi="Times New Roman"/>
        </w:rPr>
        <w:footnoteRef/>
      </w:r>
      <w:r w:rsidR="00865FCF" w:rsidRPr="008633B8">
        <w:rPr>
          <w:rFonts w:ascii="Times New Roman" w:hAnsi="Times New Roman" w:cs="Times New Roman"/>
        </w:rPr>
        <w:t xml:space="preserve"> </w:t>
      </w:r>
      <w:r w:rsidRPr="008633B8">
        <w:rPr>
          <w:rFonts w:ascii="Times New Roman" w:hAnsi="Times New Roman" w:cs="Times New Roman"/>
        </w:rPr>
        <w:t>В соответствии с решением Наблюдательного совета Фонда от 10.12.2020 (протокол № 10, вопрос 6).</w:t>
      </w:r>
    </w:p>
  </w:footnote>
  <w:footnote w:id="8">
    <w:p w14:paraId="724A0E61" w14:textId="66927875" w:rsidR="001B1B49" w:rsidRPr="002A6566" w:rsidRDefault="001B1B49" w:rsidP="00A94697">
      <w:pPr>
        <w:pStyle w:val="a6"/>
        <w:rPr>
          <w:rFonts w:ascii="Arial Narrow" w:hAnsi="Arial Narrow"/>
        </w:rPr>
      </w:pPr>
      <w:r w:rsidRPr="008633B8">
        <w:rPr>
          <w:rStyle w:val="a8"/>
          <w:rFonts w:ascii="Times New Roman" w:hAnsi="Times New Roman"/>
        </w:rPr>
        <w:footnoteRef/>
      </w:r>
      <w:r w:rsidR="008E6B12" w:rsidRPr="008633B8">
        <w:rPr>
          <w:rFonts w:ascii="Times New Roman" w:hAnsi="Times New Roman" w:cs="Times New Roman"/>
        </w:rPr>
        <w:t> </w:t>
      </w:r>
      <w:r w:rsidRPr="008633B8">
        <w:rPr>
          <w:rFonts w:ascii="Times New Roman" w:hAnsi="Times New Roman" w:cs="Times New Roman"/>
        </w:rPr>
        <w:t>Здесь к юридическим лицам не относятся инвестиционные и финансовые компании, страховые организации, биржи, депозитарии и банки.</w:t>
      </w:r>
    </w:p>
  </w:footnote>
  <w:footnote w:id="9">
    <w:p w14:paraId="1E16A224" w14:textId="1C241A57" w:rsidR="001B1B49" w:rsidRPr="00961BA6" w:rsidRDefault="001B1B49">
      <w:pPr>
        <w:pStyle w:val="a6"/>
        <w:rPr>
          <w:rFonts w:ascii="Times New Roman" w:hAnsi="Times New Roman" w:cs="Times New Roman"/>
        </w:rPr>
      </w:pPr>
      <w:r w:rsidRPr="00961BA6">
        <w:rPr>
          <w:rStyle w:val="a8"/>
          <w:rFonts w:ascii="Arial Narrow" w:hAnsi="Arial Narrow" w:cs="Arial"/>
        </w:rPr>
        <w:footnoteRef/>
      </w:r>
      <w:r w:rsidR="00865FCF" w:rsidRPr="00961BA6">
        <w:rPr>
          <w:rFonts w:ascii="Arial Narrow" w:hAnsi="Arial Narrow" w:cs="Arial"/>
        </w:rPr>
        <w:t xml:space="preserve"> </w:t>
      </w:r>
      <w:r w:rsidRPr="00961BA6">
        <w:rPr>
          <w:rFonts w:ascii="Times New Roman" w:hAnsi="Times New Roman" w:cs="Times New Roman"/>
        </w:rPr>
        <w:t>В целях усиления структуры сделки имущество, перечисленное в пунктах 13-18, может быть принято Фондами в качестве Дополнительного обеспечения на основании решения Экспертного совета Фонда.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85443606"/>
      <w:docPartObj>
        <w:docPartGallery w:val="Page Numbers (Top of Page)"/>
        <w:docPartUnique/>
      </w:docPartObj>
    </w:sdtPr>
    <w:sdtEndPr/>
    <w:sdtContent>
      <w:p w14:paraId="25B36CB1" w14:textId="71DD950C" w:rsidR="008A7201" w:rsidRPr="008627D6" w:rsidRDefault="008A7201">
        <w:pPr>
          <w:pStyle w:val="ab"/>
          <w:jc w:val="center"/>
          <w:rPr>
            <w:rFonts w:ascii="Times New Roman" w:hAnsi="Times New Roman" w:cs="Times New Roman"/>
          </w:rPr>
        </w:pPr>
        <w:r w:rsidRPr="008627D6">
          <w:rPr>
            <w:rFonts w:ascii="Times New Roman" w:hAnsi="Times New Roman" w:cs="Times New Roman"/>
          </w:rPr>
          <w:fldChar w:fldCharType="begin"/>
        </w:r>
        <w:r w:rsidRPr="008627D6">
          <w:rPr>
            <w:rFonts w:ascii="Times New Roman" w:hAnsi="Times New Roman" w:cs="Times New Roman"/>
          </w:rPr>
          <w:instrText>PAGE   \* MERGEFORMAT</w:instrText>
        </w:r>
        <w:r w:rsidRPr="008627D6">
          <w:rPr>
            <w:rFonts w:ascii="Times New Roman" w:hAnsi="Times New Roman" w:cs="Times New Roman"/>
          </w:rPr>
          <w:fldChar w:fldCharType="separate"/>
        </w:r>
        <w:r w:rsidRPr="008627D6">
          <w:rPr>
            <w:rFonts w:ascii="Times New Roman" w:hAnsi="Times New Roman" w:cs="Times New Roman"/>
          </w:rPr>
          <w:t>2</w:t>
        </w:r>
        <w:r w:rsidRPr="008627D6">
          <w:rPr>
            <w:rFonts w:ascii="Times New Roman" w:hAnsi="Times New Roman" w:cs="Times New Roman"/>
          </w:rPr>
          <w:fldChar w:fldCharType="end"/>
        </w:r>
      </w:p>
    </w:sdtContent>
  </w:sdt>
  <w:p w14:paraId="3B89E1AE" w14:textId="77777777" w:rsidR="001B1B49" w:rsidRPr="00C24F9A" w:rsidRDefault="001B1B49" w:rsidP="00B1679E">
    <w:pPr>
      <w:pStyle w:val="ab"/>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55EC8BE"/>
    <w:lvl w:ilvl="0">
      <w:start w:val="1"/>
      <w:numFmt w:val="decimal"/>
      <w:pStyle w:val="1"/>
      <w:lvlText w:val="%1."/>
      <w:lvlJc w:val="left"/>
      <w:pPr>
        <w:tabs>
          <w:tab w:val="num" w:pos="502"/>
        </w:tabs>
        <w:ind w:left="482" w:hanging="340"/>
      </w:pPr>
      <w:rPr>
        <w:rFonts w:cs="Times New Roman" w:hint="default"/>
      </w:rPr>
    </w:lvl>
    <w:lvl w:ilvl="1">
      <w:start w:val="1"/>
      <w:numFmt w:val="decimal"/>
      <w:lvlText w:val="%1.%2"/>
      <w:lvlJc w:val="left"/>
      <w:pPr>
        <w:tabs>
          <w:tab w:val="num" w:pos="738"/>
        </w:tabs>
        <w:ind w:left="738" w:hanging="454"/>
      </w:pPr>
      <w:rPr>
        <w:rFonts w:cs="Times New Roman" w:hint="default"/>
      </w:rPr>
    </w:lvl>
    <w:lvl w:ilvl="2">
      <w:start w:val="1"/>
      <w:numFmt w:val="decimal"/>
      <w:pStyle w:val="3"/>
      <w:lvlText w:val="%1.%2.%3"/>
      <w:lvlJc w:val="left"/>
      <w:pPr>
        <w:tabs>
          <w:tab w:val="num" w:pos="1163"/>
        </w:tabs>
        <w:ind w:left="1163" w:hanging="681"/>
      </w:pPr>
      <w:rPr>
        <w:rFonts w:cs="Times New Roman" w:hint="default"/>
      </w:rPr>
    </w:lvl>
    <w:lvl w:ilvl="3">
      <w:start w:val="1"/>
      <w:numFmt w:val="decimal"/>
      <w:pStyle w:val="30"/>
      <w:lvlText w:val="%1.%2.%3.%4"/>
      <w:lvlJc w:val="left"/>
      <w:pPr>
        <w:tabs>
          <w:tab w:val="num" w:pos="2243"/>
        </w:tabs>
        <w:ind w:left="1900" w:hanging="737"/>
      </w:pPr>
      <w:rPr>
        <w:rFonts w:cs="Times New Roman" w:hint="default"/>
      </w:rPr>
    </w:lvl>
    <w:lvl w:ilvl="4">
      <w:start w:val="1"/>
      <w:numFmt w:val="decimal"/>
      <w:pStyle w:val="5"/>
      <w:lvlText w:val="%1.%2.%3.%4.%5"/>
      <w:lvlJc w:val="left"/>
      <w:pPr>
        <w:tabs>
          <w:tab w:val="num" w:pos="482"/>
        </w:tabs>
        <w:ind w:left="482"/>
      </w:pPr>
      <w:rPr>
        <w:rFonts w:cs="Times New Roman" w:hint="default"/>
      </w:rPr>
    </w:lvl>
    <w:lvl w:ilvl="5">
      <w:start w:val="1"/>
      <w:numFmt w:val="decimal"/>
      <w:pStyle w:val="6"/>
      <w:lvlText w:val="%1.%2.%3.%4.%5.%6"/>
      <w:lvlJc w:val="left"/>
      <w:pPr>
        <w:tabs>
          <w:tab w:val="num" w:pos="482"/>
        </w:tabs>
        <w:ind w:left="482"/>
      </w:pPr>
      <w:rPr>
        <w:rFonts w:cs="Times New Roman" w:hint="default"/>
      </w:rPr>
    </w:lvl>
    <w:lvl w:ilvl="6">
      <w:start w:val="1"/>
      <w:numFmt w:val="decimal"/>
      <w:pStyle w:val="7"/>
      <w:lvlText w:val="%1.%2.%3.%4.%5.%6.%7"/>
      <w:lvlJc w:val="left"/>
      <w:pPr>
        <w:tabs>
          <w:tab w:val="num" w:pos="482"/>
        </w:tabs>
        <w:ind w:left="482"/>
      </w:pPr>
      <w:rPr>
        <w:rFonts w:cs="Times New Roman" w:hint="default"/>
      </w:rPr>
    </w:lvl>
    <w:lvl w:ilvl="7">
      <w:start w:val="1"/>
      <w:numFmt w:val="decimal"/>
      <w:pStyle w:val="8"/>
      <w:lvlText w:val="%1.%2.%3.%4.%5.%6.%7.%8"/>
      <w:lvlJc w:val="left"/>
      <w:pPr>
        <w:tabs>
          <w:tab w:val="num" w:pos="482"/>
        </w:tabs>
        <w:ind w:left="482"/>
      </w:pPr>
      <w:rPr>
        <w:rFonts w:cs="Times New Roman" w:hint="default"/>
      </w:rPr>
    </w:lvl>
    <w:lvl w:ilvl="8">
      <w:start w:val="1"/>
      <w:numFmt w:val="decimal"/>
      <w:pStyle w:val="9"/>
      <w:lvlText w:val="%1.%2.%3.%4.%5.%6.%7.%8.%9"/>
      <w:lvlJc w:val="left"/>
      <w:pPr>
        <w:tabs>
          <w:tab w:val="num" w:pos="482"/>
        </w:tabs>
        <w:ind w:left="482"/>
      </w:pPr>
      <w:rPr>
        <w:rFonts w:cs="Times New Roman" w:hint="default"/>
      </w:rPr>
    </w:lvl>
  </w:abstractNum>
  <w:abstractNum w:abstractNumId="1" w15:restartNumberingAfterBreak="0">
    <w:nsid w:val="0D1757FA"/>
    <w:multiLevelType w:val="hybridMultilevel"/>
    <w:tmpl w:val="D9B2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01AF6"/>
    <w:multiLevelType w:val="hybridMultilevel"/>
    <w:tmpl w:val="C536276A"/>
    <w:lvl w:ilvl="0" w:tplc="5A504C04">
      <w:start w:val="1"/>
      <w:numFmt w:val="decimal"/>
      <w:lvlText w:val="%1)"/>
      <w:lvlJc w:val="left"/>
      <w:pPr>
        <w:ind w:left="124" w:hanging="284"/>
      </w:pPr>
      <w:rPr>
        <w:rFonts w:asciiTheme="minorHAnsi" w:eastAsia="Arial Narrow" w:hAnsiTheme="minorHAnsi" w:cs="Arial Narrow"/>
        <w:w w:val="100"/>
        <w:sz w:val="22"/>
        <w:szCs w:val="22"/>
      </w:rPr>
    </w:lvl>
    <w:lvl w:ilvl="1" w:tplc="F558C26A">
      <w:start w:val="1"/>
      <w:numFmt w:val="bullet"/>
      <w:lvlText w:val="•"/>
      <w:lvlJc w:val="left"/>
      <w:pPr>
        <w:ind w:left="861" w:hanging="284"/>
      </w:pPr>
      <w:rPr>
        <w:rFonts w:hint="default"/>
      </w:rPr>
    </w:lvl>
    <w:lvl w:ilvl="2" w:tplc="13062A98">
      <w:start w:val="1"/>
      <w:numFmt w:val="bullet"/>
      <w:lvlText w:val="•"/>
      <w:lvlJc w:val="left"/>
      <w:pPr>
        <w:ind w:left="1602" w:hanging="284"/>
      </w:pPr>
      <w:rPr>
        <w:rFonts w:hint="default"/>
      </w:rPr>
    </w:lvl>
    <w:lvl w:ilvl="3" w:tplc="6902FB90">
      <w:start w:val="1"/>
      <w:numFmt w:val="bullet"/>
      <w:lvlText w:val="•"/>
      <w:lvlJc w:val="left"/>
      <w:pPr>
        <w:ind w:left="2343" w:hanging="284"/>
      </w:pPr>
      <w:rPr>
        <w:rFonts w:hint="default"/>
      </w:rPr>
    </w:lvl>
    <w:lvl w:ilvl="4" w:tplc="71B6DAD4">
      <w:start w:val="1"/>
      <w:numFmt w:val="bullet"/>
      <w:lvlText w:val="•"/>
      <w:lvlJc w:val="left"/>
      <w:pPr>
        <w:ind w:left="3084" w:hanging="284"/>
      </w:pPr>
      <w:rPr>
        <w:rFonts w:hint="default"/>
      </w:rPr>
    </w:lvl>
    <w:lvl w:ilvl="5" w:tplc="989E8A8A">
      <w:start w:val="1"/>
      <w:numFmt w:val="bullet"/>
      <w:lvlText w:val="•"/>
      <w:lvlJc w:val="left"/>
      <w:pPr>
        <w:ind w:left="3825" w:hanging="284"/>
      </w:pPr>
      <w:rPr>
        <w:rFonts w:hint="default"/>
      </w:rPr>
    </w:lvl>
    <w:lvl w:ilvl="6" w:tplc="5666F5C6">
      <w:start w:val="1"/>
      <w:numFmt w:val="bullet"/>
      <w:lvlText w:val="•"/>
      <w:lvlJc w:val="left"/>
      <w:pPr>
        <w:ind w:left="4566" w:hanging="284"/>
      </w:pPr>
      <w:rPr>
        <w:rFonts w:hint="default"/>
      </w:rPr>
    </w:lvl>
    <w:lvl w:ilvl="7" w:tplc="31C2533C">
      <w:start w:val="1"/>
      <w:numFmt w:val="bullet"/>
      <w:lvlText w:val="•"/>
      <w:lvlJc w:val="left"/>
      <w:pPr>
        <w:ind w:left="5307" w:hanging="284"/>
      </w:pPr>
      <w:rPr>
        <w:rFonts w:hint="default"/>
      </w:rPr>
    </w:lvl>
    <w:lvl w:ilvl="8" w:tplc="BA7CA2C4">
      <w:start w:val="1"/>
      <w:numFmt w:val="bullet"/>
      <w:lvlText w:val="•"/>
      <w:lvlJc w:val="left"/>
      <w:pPr>
        <w:ind w:left="6048" w:hanging="284"/>
      </w:pPr>
      <w:rPr>
        <w:rFonts w:hint="default"/>
      </w:rPr>
    </w:lvl>
  </w:abstractNum>
  <w:abstractNum w:abstractNumId="3" w15:restartNumberingAfterBreak="0">
    <w:nsid w:val="125B720F"/>
    <w:multiLevelType w:val="hybridMultilevel"/>
    <w:tmpl w:val="DE786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5E7EBD"/>
    <w:multiLevelType w:val="hybridMultilevel"/>
    <w:tmpl w:val="E6F010BA"/>
    <w:lvl w:ilvl="0" w:tplc="2870B6D6">
      <w:start w:val="1"/>
      <w:numFmt w:val="bullet"/>
      <w:lvlText w:val=""/>
      <w:lvlJc w:val="left"/>
      <w:pPr>
        <w:ind w:left="103" w:hanging="305"/>
      </w:pPr>
      <w:rPr>
        <w:rFonts w:ascii="Symbol" w:eastAsia="Symbol" w:hAnsi="Symbol" w:cs="Symbol" w:hint="default"/>
        <w:w w:val="100"/>
        <w:sz w:val="24"/>
        <w:szCs w:val="24"/>
      </w:rPr>
    </w:lvl>
    <w:lvl w:ilvl="1" w:tplc="E66AF15A">
      <w:start w:val="1"/>
      <w:numFmt w:val="bullet"/>
      <w:lvlText w:val="•"/>
      <w:lvlJc w:val="left"/>
      <w:pPr>
        <w:ind w:left="843" w:hanging="305"/>
      </w:pPr>
      <w:rPr>
        <w:rFonts w:hint="default"/>
      </w:rPr>
    </w:lvl>
    <w:lvl w:ilvl="2" w:tplc="B1104FEA">
      <w:start w:val="1"/>
      <w:numFmt w:val="bullet"/>
      <w:lvlText w:val="•"/>
      <w:lvlJc w:val="left"/>
      <w:pPr>
        <w:ind w:left="1586" w:hanging="305"/>
      </w:pPr>
      <w:rPr>
        <w:rFonts w:hint="default"/>
      </w:rPr>
    </w:lvl>
    <w:lvl w:ilvl="3" w:tplc="38B4E234">
      <w:start w:val="1"/>
      <w:numFmt w:val="bullet"/>
      <w:lvlText w:val="•"/>
      <w:lvlJc w:val="left"/>
      <w:pPr>
        <w:ind w:left="2329" w:hanging="305"/>
      </w:pPr>
      <w:rPr>
        <w:rFonts w:hint="default"/>
      </w:rPr>
    </w:lvl>
    <w:lvl w:ilvl="4" w:tplc="6974E8AC">
      <w:start w:val="1"/>
      <w:numFmt w:val="bullet"/>
      <w:lvlText w:val="•"/>
      <w:lvlJc w:val="left"/>
      <w:pPr>
        <w:ind w:left="3072" w:hanging="305"/>
      </w:pPr>
      <w:rPr>
        <w:rFonts w:hint="default"/>
      </w:rPr>
    </w:lvl>
    <w:lvl w:ilvl="5" w:tplc="AB5EDDC2">
      <w:start w:val="1"/>
      <w:numFmt w:val="bullet"/>
      <w:lvlText w:val="•"/>
      <w:lvlJc w:val="left"/>
      <w:pPr>
        <w:ind w:left="3815" w:hanging="305"/>
      </w:pPr>
      <w:rPr>
        <w:rFonts w:hint="default"/>
      </w:rPr>
    </w:lvl>
    <w:lvl w:ilvl="6" w:tplc="0234EE12">
      <w:start w:val="1"/>
      <w:numFmt w:val="bullet"/>
      <w:lvlText w:val="•"/>
      <w:lvlJc w:val="left"/>
      <w:pPr>
        <w:ind w:left="4558" w:hanging="305"/>
      </w:pPr>
      <w:rPr>
        <w:rFonts w:hint="default"/>
      </w:rPr>
    </w:lvl>
    <w:lvl w:ilvl="7" w:tplc="DC8447F0">
      <w:start w:val="1"/>
      <w:numFmt w:val="bullet"/>
      <w:lvlText w:val="•"/>
      <w:lvlJc w:val="left"/>
      <w:pPr>
        <w:ind w:left="5301" w:hanging="305"/>
      </w:pPr>
      <w:rPr>
        <w:rFonts w:hint="default"/>
      </w:rPr>
    </w:lvl>
    <w:lvl w:ilvl="8" w:tplc="3FF8A064">
      <w:start w:val="1"/>
      <w:numFmt w:val="bullet"/>
      <w:lvlText w:val="•"/>
      <w:lvlJc w:val="left"/>
      <w:pPr>
        <w:ind w:left="6044" w:hanging="305"/>
      </w:pPr>
      <w:rPr>
        <w:rFonts w:hint="default"/>
      </w:rPr>
    </w:lvl>
  </w:abstractNum>
  <w:abstractNum w:abstractNumId="5" w15:restartNumberingAfterBreak="0">
    <w:nsid w:val="160D1DDE"/>
    <w:multiLevelType w:val="multilevel"/>
    <w:tmpl w:val="2014E8A0"/>
    <w:lvl w:ilvl="0">
      <w:start w:val="1"/>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288"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15:restartNumberingAfterBreak="0">
    <w:nsid w:val="22E73E7C"/>
    <w:multiLevelType w:val="hybridMultilevel"/>
    <w:tmpl w:val="4A700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2B45F2"/>
    <w:multiLevelType w:val="multilevel"/>
    <w:tmpl w:val="0419001F"/>
    <w:lvl w:ilvl="0">
      <w:start w:val="1"/>
      <w:numFmt w:val="decimal"/>
      <w:lvlText w:val="%1."/>
      <w:lvlJc w:val="left"/>
      <w:pPr>
        <w:ind w:left="644" w:hanging="360"/>
      </w:pPr>
      <w:rPr>
        <w:rFonts w:hint="default"/>
        <w:b/>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865C16"/>
    <w:multiLevelType w:val="hybridMultilevel"/>
    <w:tmpl w:val="FC1C8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D94E6A"/>
    <w:multiLevelType w:val="hybridMultilevel"/>
    <w:tmpl w:val="ED8A771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15:restartNumberingAfterBreak="0">
    <w:nsid w:val="3B7D67A4"/>
    <w:multiLevelType w:val="hybridMultilevel"/>
    <w:tmpl w:val="16369212"/>
    <w:lvl w:ilvl="0" w:tplc="5B7897BA">
      <w:start w:val="1"/>
      <w:numFmt w:val="decimal"/>
      <w:lvlText w:val="%1."/>
      <w:lvlJc w:val="left"/>
      <w:pPr>
        <w:ind w:left="360" w:hanging="360"/>
      </w:pPr>
      <w:rPr>
        <w:rFonts w:hint="default"/>
      </w:r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E1857B8"/>
    <w:multiLevelType w:val="hybridMultilevel"/>
    <w:tmpl w:val="092AD756"/>
    <w:lvl w:ilvl="0" w:tplc="EDC2E400">
      <w:start w:val="1"/>
      <w:numFmt w:val="bullet"/>
      <w:lvlText w:val=""/>
      <w:lvlJc w:val="left"/>
      <w:pPr>
        <w:ind w:left="12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680819"/>
    <w:multiLevelType w:val="multilevel"/>
    <w:tmpl w:val="6FB61EC4"/>
    <w:lvl w:ilvl="0">
      <w:start w:val="1"/>
      <w:numFmt w:val="decimal"/>
      <w:lvlText w:val="%1."/>
      <w:lvlJc w:val="left"/>
      <w:pPr>
        <w:ind w:left="502" w:hanging="360"/>
      </w:pPr>
    </w:lvl>
    <w:lvl w:ilvl="1">
      <w:start w:val="1"/>
      <w:numFmt w:val="decimal"/>
      <w:pStyle w:val="20"/>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1B6EDC"/>
    <w:multiLevelType w:val="hybridMultilevel"/>
    <w:tmpl w:val="BA7A4AF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5" w15:restartNumberingAfterBreak="0">
    <w:nsid w:val="420E5EAF"/>
    <w:multiLevelType w:val="hybridMultilevel"/>
    <w:tmpl w:val="5AACE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E3462F"/>
    <w:multiLevelType w:val="hybridMultilevel"/>
    <w:tmpl w:val="99A4C2D6"/>
    <w:lvl w:ilvl="0" w:tplc="0E46E10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441CD5"/>
    <w:multiLevelType w:val="hybridMultilevel"/>
    <w:tmpl w:val="D7067E0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15:restartNumberingAfterBreak="0">
    <w:nsid w:val="494E05FB"/>
    <w:multiLevelType w:val="hybridMultilevel"/>
    <w:tmpl w:val="398E8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EF132C"/>
    <w:multiLevelType w:val="hybridMultilevel"/>
    <w:tmpl w:val="750A96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4396008"/>
    <w:multiLevelType w:val="hybridMultilevel"/>
    <w:tmpl w:val="7352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593ACF"/>
    <w:multiLevelType w:val="hybridMultilevel"/>
    <w:tmpl w:val="68505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60892"/>
    <w:multiLevelType w:val="multilevel"/>
    <w:tmpl w:val="CC7C4C46"/>
    <w:lvl w:ilvl="0">
      <w:start w:val="1"/>
      <w:numFmt w:val="decimal"/>
      <w:lvlText w:val="%1."/>
      <w:lvlJc w:val="left"/>
      <w:pPr>
        <w:ind w:left="540" w:hanging="540"/>
      </w:pPr>
    </w:lvl>
    <w:lvl w:ilvl="1">
      <w:start w:val="1"/>
      <w:numFmt w:val="decimal"/>
      <w:lvlText w:val="%1.%2."/>
      <w:lvlJc w:val="left"/>
      <w:pPr>
        <w:ind w:left="720" w:hanging="540"/>
      </w:pPr>
    </w:lvl>
    <w:lvl w:ilvl="2">
      <w:start w:val="1"/>
      <w:numFmt w:val="decimal"/>
      <w:lvlText w:val="%3."/>
      <w:lvlJc w:val="left"/>
      <w:pPr>
        <w:ind w:left="1288" w:hanging="720"/>
      </w:pPr>
      <w:rPr>
        <w:rFonts w:ascii="Times New Roman" w:eastAsiaTheme="minorHAnsi" w:hAnsi="Times New Roman" w:cstheme="minorBidi"/>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3" w15:restartNumberingAfterBreak="0">
    <w:nsid w:val="65F81AC6"/>
    <w:multiLevelType w:val="hybridMultilevel"/>
    <w:tmpl w:val="A5E49990"/>
    <w:lvl w:ilvl="0" w:tplc="3662976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A68486B"/>
    <w:multiLevelType w:val="hybridMultilevel"/>
    <w:tmpl w:val="0DACEBC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0"/>
  </w:num>
  <w:num w:numId="2">
    <w:abstractNumId w:val="0"/>
  </w:num>
  <w:num w:numId="3">
    <w:abstractNumId w:val="6"/>
  </w:num>
  <w:num w:numId="4">
    <w:abstractNumId w:val="1"/>
  </w:num>
  <w:num w:numId="5">
    <w:abstractNumId w:val="24"/>
  </w:num>
  <w:num w:numId="6">
    <w:abstractNumId w:val="13"/>
  </w:num>
  <w:num w:numId="7">
    <w:abstractNumId w:val="14"/>
  </w:num>
  <w:num w:numId="8">
    <w:abstractNumId w:val="17"/>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7"/>
  </w:num>
  <w:num w:numId="15">
    <w:abstractNumId w:val="13"/>
  </w:num>
  <w:num w:numId="16">
    <w:abstractNumId w:val="19"/>
  </w:num>
  <w:num w:numId="17">
    <w:abstractNumId w:val="2"/>
  </w:num>
  <w:num w:numId="18">
    <w:abstractNumId w:val="3"/>
  </w:num>
  <w:num w:numId="19">
    <w:abstractNumId w:val="8"/>
  </w:num>
  <w:num w:numId="20">
    <w:abstractNumId w:val="15"/>
  </w:num>
  <w:num w:numId="21">
    <w:abstractNumId w:val="0"/>
  </w:num>
  <w:num w:numId="22">
    <w:abstractNumId w:val="0"/>
  </w:num>
  <w:num w:numId="23">
    <w:abstractNumId w:val="12"/>
  </w:num>
  <w:num w:numId="24">
    <w:abstractNumId w:val="0"/>
  </w:num>
  <w:num w:numId="25">
    <w:abstractNumId w:val="21"/>
  </w:num>
  <w:num w:numId="26">
    <w:abstractNumId w:val="18"/>
  </w:num>
  <w:num w:numId="27">
    <w:abstractNumId w:val="16"/>
  </w:num>
  <w:num w:numId="28">
    <w:abstractNumId w:val="9"/>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F5"/>
    <w:rsid w:val="00000902"/>
    <w:rsid w:val="00002ED4"/>
    <w:rsid w:val="00002F3C"/>
    <w:rsid w:val="00003D04"/>
    <w:rsid w:val="00003D74"/>
    <w:rsid w:val="00006EBD"/>
    <w:rsid w:val="000075BB"/>
    <w:rsid w:val="00010D11"/>
    <w:rsid w:val="000144C7"/>
    <w:rsid w:val="00014AC8"/>
    <w:rsid w:val="00014C2D"/>
    <w:rsid w:val="000150D1"/>
    <w:rsid w:val="00016A1F"/>
    <w:rsid w:val="00017145"/>
    <w:rsid w:val="00017A24"/>
    <w:rsid w:val="00022E9F"/>
    <w:rsid w:val="0002358E"/>
    <w:rsid w:val="00023CE5"/>
    <w:rsid w:val="000269C0"/>
    <w:rsid w:val="000275B4"/>
    <w:rsid w:val="0002771E"/>
    <w:rsid w:val="00030634"/>
    <w:rsid w:val="00030EF3"/>
    <w:rsid w:val="00030F3D"/>
    <w:rsid w:val="000314B3"/>
    <w:rsid w:val="000319A2"/>
    <w:rsid w:val="00031AC2"/>
    <w:rsid w:val="00031AD5"/>
    <w:rsid w:val="0003742C"/>
    <w:rsid w:val="00041C99"/>
    <w:rsid w:val="00042353"/>
    <w:rsid w:val="00042C22"/>
    <w:rsid w:val="0004308E"/>
    <w:rsid w:val="0004355D"/>
    <w:rsid w:val="00044FDE"/>
    <w:rsid w:val="00047161"/>
    <w:rsid w:val="00051F72"/>
    <w:rsid w:val="0005268A"/>
    <w:rsid w:val="00057302"/>
    <w:rsid w:val="000604CD"/>
    <w:rsid w:val="00061B03"/>
    <w:rsid w:val="0006221C"/>
    <w:rsid w:val="00065195"/>
    <w:rsid w:val="00072B4D"/>
    <w:rsid w:val="0007586A"/>
    <w:rsid w:val="00081760"/>
    <w:rsid w:val="00081C9E"/>
    <w:rsid w:val="000848E7"/>
    <w:rsid w:val="0008505C"/>
    <w:rsid w:val="00085210"/>
    <w:rsid w:val="00086074"/>
    <w:rsid w:val="0008684D"/>
    <w:rsid w:val="00086BDF"/>
    <w:rsid w:val="000914B7"/>
    <w:rsid w:val="000920C9"/>
    <w:rsid w:val="00094143"/>
    <w:rsid w:val="000942B2"/>
    <w:rsid w:val="0009542B"/>
    <w:rsid w:val="00097B2C"/>
    <w:rsid w:val="000A03E4"/>
    <w:rsid w:val="000A2093"/>
    <w:rsid w:val="000A335D"/>
    <w:rsid w:val="000A6989"/>
    <w:rsid w:val="000A6D0A"/>
    <w:rsid w:val="000B0084"/>
    <w:rsid w:val="000B18EB"/>
    <w:rsid w:val="000B75B8"/>
    <w:rsid w:val="000C334C"/>
    <w:rsid w:val="000C3914"/>
    <w:rsid w:val="000C3935"/>
    <w:rsid w:val="000C5950"/>
    <w:rsid w:val="000C5B21"/>
    <w:rsid w:val="000C5BEA"/>
    <w:rsid w:val="000C5E03"/>
    <w:rsid w:val="000C65B8"/>
    <w:rsid w:val="000D2B32"/>
    <w:rsid w:val="000D47F2"/>
    <w:rsid w:val="000D61E5"/>
    <w:rsid w:val="000D6595"/>
    <w:rsid w:val="000D6EEF"/>
    <w:rsid w:val="000D71E8"/>
    <w:rsid w:val="000E00D7"/>
    <w:rsid w:val="000E03DF"/>
    <w:rsid w:val="000E184F"/>
    <w:rsid w:val="000E3ECF"/>
    <w:rsid w:val="000E5472"/>
    <w:rsid w:val="000E630A"/>
    <w:rsid w:val="000E66E2"/>
    <w:rsid w:val="000E726E"/>
    <w:rsid w:val="000E7BA1"/>
    <w:rsid w:val="000E7BBD"/>
    <w:rsid w:val="000F174A"/>
    <w:rsid w:val="000F22AF"/>
    <w:rsid w:val="000F321F"/>
    <w:rsid w:val="000F37EA"/>
    <w:rsid w:val="000F400A"/>
    <w:rsid w:val="000F550E"/>
    <w:rsid w:val="000F6312"/>
    <w:rsid w:val="000F72D8"/>
    <w:rsid w:val="000F745B"/>
    <w:rsid w:val="000F7A02"/>
    <w:rsid w:val="00100FF2"/>
    <w:rsid w:val="00102372"/>
    <w:rsid w:val="001024CE"/>
    <w:rsid w:val="00102906"/>
    <w:rsid w:val="0010383B"/>
    <w:rsid w:val="00104E14"/>
    <w:rsid w:val="00106297"/>
    <w:rsid w:val="00106969"/>
    <w:rsid w:val="00106A42"/>
    <w:rsid w:val="00107A69"/>
    <w:rsid w:val="00112AC2"/>
    <w:rsid w:val="00114B38"/>
    <w:rsid w:val="00114C55"/>
    <w:rsid w:val="00116A52"/>
    <w:rsid w:val="00117726"/>
    <w:rsid w:val="00121949"/>
    <w:rsid w:val="00121C81"/>
    <w:rsid w:val="00123FED"/>
    <w:rsid w:val="00125BBB"/>
    <w:rsid w:val="0012637E"/>
    <w:rsid w:val="00126659"/>
    <w:rsid w:val="001269CF"/>
    <w:rsid w:val="00130334"/>
    <w:rsid w:val="00131607"/>
    <w:rsid w:val="00134286"/>
    <w:rsid w:val="00134ACB"/>
    <w:rsid w:val="00136232"/>
    <w:rsid w:val="0013707D"/>
    <w:rsid w:val="00137F9B"/>
    <w:rsid w:val="00140966"/>
    <w:rsid w:val="001410D3"/>
    <w:rsid w:val="0014311B"/>
    <w:rsid w:val="00143FA8"/>
    <w:rsid w:val="00144776"/>
    <w:rsid w:val="00144E5C"/>
    <w:rsid w:val="001465A9"/>
    <w:rsid w:val="00147278"/>
    <w:rsid w:val="001540C1"/>
    <w:rsid w:val="00154679"/>
    <w:rsid w:val="00155CE9"/>
    <w:rsid w:val="00156C66"/>
    <w:rsid w:val="00163C81"/>
    <w:rsid w:val="00163E3B"/>
    <w:rsid w:val="001644C2"/>
    <w:rsid w:val="00164E91"/>
    <w:rsid w:val="00167724"/>
    <w:rsid w:val="00167E49"/>
    <w:rsid w:val="00167FA4"/>
    <w:rsid w:val="0017023A"/>
    <w:rsid w:val="00171281"/>
    <w:rsid w:val="00172F6B"/>
    <w:rsid w:val="00174806"/>
    <w:rsid w:val="00175F45"/>
    <w:rsid w:val="0018091F"/>
    <w:rsid w:val="00181B8B"/>
    <w:rsid w:val="00183F46"/>
    <w:rsid w:val="00184D38"/>
    <w:rsid w:val="001869C9"/>
    <w:rsid w:val="001916B1"/>
    <w:rsid w:val="0019375C"/>
    <w:rsid w:val="00193E0C"/>
    <w:rsid w:val="00194EF9"/>
    <w:rsid w:val="00195C76"/>
    <w:rsid w:val="0019608F"/>
    <w:rsid w:val="0019622E"/>
    <w:rsid w:val="001975D6"/>
    <w:rsid w:val="0019784B"/>
    <w:rsid w:val="001A0A09"/>
    <w:rsid w:val="001A2B83"/>
    <w:rsid w:val="001A3C52"/>
    <w:rsid w:val="001A42C4"/>
    <w:rsid w:val="001A4746"/>
    <w:rsid w:val="001A7C60"/>
    <w:rsid w:val="001B08D4"/>
    <w:rsid w:val="001B092D"/>
    <w:rsid w:val="001B0EC9"/>
    <w:rsid w:val="001B1B49"/>
    <w:rsid w:val="001B1CF9"/>
    <w:rsid w:val="001B261E"/>
    <w:rsid w:val="001B2A75"/>
    <w:rsid w:val="001B31FF"/>
    <w:rsid w:val="001B3228"/>
    <w:rsid w:val="001B6B16"/>
    <w:rsid w:val="001B74F5"/>
    <w:rsid w:val="001C00DE"/>
    <w:rsid w:val="001C0477"/>
    <w:rsid w:val="001C0C4E"/>
    <w:rsid w:val="001C121C"/>
    <w:rsid w:val="001C136E"/>
    <w:rsid w:val="001C2DDA"/>
    <w:rsid w:val="001C71A3"/>
    <w:rsid w:val="001D18BB"/>
    <w:rsid w:val="001D18E3"/>
    <w:rsid w:val="001D28BF"/>
    <w:rsid w:val="001D39A5"/>
    <w:rsid w:val="001D4A21"/>
    <w:rsid w:val="001D5CFA"/>
    <w:rsid w:val="001D6E41"/>
    <w:rsid w:val="001E0421"/>
    <w:rsid w:val="001E0954"/>
    <w:rsid w:val="001E232C"/>
    <w:rsid w:val="001E3EFA"/>
    <w:rsid w:val="001E53C4"/>
    <w:rsid w:val="001E6955"/>
    <w:rsid w:val="001E7B40"/>
    <w:rsid w:val="001F33D3"/>
    <w:rsid w:val="001F3C47"/>
    <w:rsid w:val="001F5D55"/>
    <w:rsid w:val="001F63BF"/>
    <w:rsid w:val="0020177D"/>
    <w:rsid w:val="00201EB0"/>
    <w:rsid w:val="002029B4"/>
    <w:rsid w:val="00203886"/>
    <w:rsid w:val="00206566"/>
    <w:rsid w:val="002077B2"/>
    <w:rsid w:val="0020795D"/>
    <w:rsid w:val="00210C79"/>
    <w:rsid w:val="00214287"/>
    <w:rsid w:val="002144CF"/>
    <w:rsid w:val="00216050"/>
    <w:rsid w:val="00216744"/>
    <w:rsid w:val="00217A54"/>
    <w:rsid w:val="00222A92"/>
    <w:rsid w:val="002247C5"/>
    <w:rsid w:val="00225496"/>
    <w:rsid w:val="002317FD"/>
    <w:rsid w:val="00232BE4"/>
    <w:rsid w:val="002356A1"/>
    <w:rsid w:val="002360B1"/>
    <w:rsid w:val="0023738F"/>
    <w:rsid w:val="00240DD4"/>
    <w:rsid w:val="00242733"/>
    <w:rsid w:val="00242797"/>
    <w:rsid w:val="00242944"/>
    <w:rsid w:val="00244DC7"/>
    <w:rsid w:val="002452F5"/>
    <w:rsid w:val="0024542A"/>
    <w:rsid w:val="00246B24"/>
    <w:rsid w:val="00250182"/>
    <w:rsid w:val="00253823"/>
    <w:rsid w:val="00254E95"/>
    <w:rsid w:val="002555B5"/>
    <w:rsid w:val="00255901"/>
    <w:rsid w:val="002567B5"/>
    <w:rsid w:val="00257665"/>
    <w:rsid w:val="00257B1D"/>
    <w:rsid w:val="00260749"/>
    <w:rsid w:val="00261CEB"/>
    <w:rsid w:val="002622CE"/>
    <w:rsid w:val="00262C4C"/>
    <w:rsid w:val="00263380"/>
    <w:rsid w:val="0026520D"/>
    <w:rsid w:val="0026605D"/>
    <w:rsid w:val="0026650A"/>
    <w:rsid w:val="00266C7D"/>
    <w:rsid w:val="002676C1"/>
    <w:rsid w:val="0026775A"/>
    <w:rsid w:val="00267FA7"/>
    <w:rsid w:val="002707B5"/>
    <w:rsid w:val="00271645"/>
    <w:rsid w:val="002756E4"/>
    <w:rsid w:val="00275A12"/>
    <w:rsid w:val="00275CE1"/>
    <w:rsid w:val="00276E0A"/>
    <w:rsid w:val="00277727"/>
    <w:rsid w:val="00277FF4"/>
    <w:rsid w:val="0028043A"/>
    <w:rsid w:val="00284FFF"/>
    <w:rsid w:val="00286C5A"/>
    <w:rsid w:val="0028716C"/>
    <w:rsid w:val="00290B74"/>
    <w:rsid w:val="00291841"/>
    <w:rsid w:val="00291A51"/>
    <w:rsid w:val="00291E4F"/>
    <w:rsid w:val="00291F32"/>
    <w:rsid w:val="00292248"/>
    <w:rsid w:val="00293F55"/>
    <w:rsid w:val="00294863"/>
    <w:rsid w:val="00294E12"/>
    <w:rsid w:val="00296355"/>
    <w:rsid w:val="00296909"/>
    <w:rsid w:val="0029710A"/>
    <w:rsid w:val="002973C1"/>
    <w:rsid w:val="002A0B38"/>
    <w:rsid w:val="002A3BA9"/>
    <w:rsid w:val="002A49D5"/>
    <w:rsid w:val="002A64FB"/>
    <w:rsid w:val="002A6566"/>
    <w:rsid w:val="002A6B6A"/>
    <w:rsid w:val="002A7041"/>
    <w:rsid w:val="002A70E5"/>
    <w:rsid w:val="002B188B"/>
    <w:rsid w:val="002B1C3D"/>
    <w:rsid w:val="002B1CA3"/>
    <w:rsid w:val="002B2D55"/>
    <w:rsid w:val="002B2D60"/>
    <w:rsid w:val="002B513C"/>
    <w:rsid w:val="002B6702"/>
    <w:rsid w:val="002C41E3"/>
    <w:rsid w:val="002C4D43"/>
    <w:rsid w:val="002C57EB"/>
    <w:rsid w:val="002C747A"/>
    <w:rsid w:val="002D3719"/>
    <w:rsid w:val="002D3E31"/>
    <w:rsid w:val="002D5059"/>
    <w:rsid w:val="002D6563"/>
    <w:rsid w:val="002D6ED1"/>
    <w:rsid w:val="002E2D00"/>
    <w:rsid w:val="002E2F60"/>
    <w:rsid w:val="002E3D04"/>
    <w:rsid w:val="002E464E"/>
    <w:rsid w:val="002E6488"/>
    <w:rsid w:val="002E69DA"/>
    <w:rsid w:val="002E6F30"/>
    <w:rsid w:val="002E7160"/>
    <w:rsid w:val="002E7A22"/>
    <w:rsid w:val="002F032E"/>
    <w:rsid w:val="002F0621"/>
    <w:rsid w:val="002F0D61"/>
    <w:rsid w:val="002F233A"/>
    <w:rsid w:val="002F2889"/>
    <w:rsid w:val="002F3090"/>
    <w:rsid w:val="002F4A56"/>
    <w:rsid w:val="002F5E09"/>
    <w:rsid w:val="002F5FA5"/>
    <w:rsid w:val="002F663F"/>
    <w:rsid w:val="002F7765"/>
    <w:rsid w:val="00301935"/>
    <w:rsid w:val="003022CA"/>
    <w:rsid w:val="003077CB"/>
    <w:rsid w:val="00307FD0"/>
    <w:rsid w:val="003106FA"/>
    <w:rsid w:val="003202C6"/>
    <w:rsid w:val="0032066F"/>
    <w:rsid w:val="00322180"/>
    <w:rsid w:val="0032552E"/>
    <w:rsid w:val="00327370"/>
    <w:rsid w:val="00330C28"/>
    <w:rsid w:val="00333B01"/>
    <w:rsid w:val="00334313"/>
    <w:rsid w:val="00334FCE"/>
    <w:rsid w:val="003367B8"/>
    <w:rsid w:val="00341527"/>
    <w:rsid w:val="003415A7"/>
    <w:rsid w:val="00342937"/>
    <w:rsid w:val="00343B2F"/>
    <w:rsid w:val="003448ED"/>
    <w:rsid w:val="00344FA8"/>
    <w:rsid w:val="00345136"/>
    <w:rsid w:val="00346C05"/>
    <w:rsid w:val="00346F96"/>
    <w:rsid w:val="00350149"/>
    <w:rsid w:val="003503D5"/>
    <w:rsid w:val="00351CDE"/>
    <w:rsid w:val="003520E9"/>
    <w:rsid w:val="003530E0"/>
    <w:rsid w:val="00355581"/>
    <w:rsid w:val="00356AF0"/>
    <w:rsid w:val="00357072"/>
    <w:rsid w:val="00357226"/>
    <w:rsid w:val="0036072C"/>
    <w:rsid w:val="00365018"/>
    <w:rsid w:val="003657D6"/>
    <w:rsid w:val="00370302"/>
    <w:rsid w:val="00371B2A"/>
    <w:rsid w:val="00372505"/>
    <w:rsid w:val="0037459E"/>
    <w:rsid w:val="003755BD"/>
    <w:rsid w:val="003774FD"/>
    <w:rsid w:val="0038036C"/>
    <w:rsid w:val="003809F9"/>
    <w:rsid w:val="0038106F"/>
    <w:rsid w:val="003826DF"/>
    <w:rsid w:val="00383080"/>
    <w:rsid w:val="00383D83"/>
    <w:rsid w:val="0039032C"/>
    <w:rsid w:val="0039387B"/>
    <w:rsid w:val="0039453F"/>
    <w:rsid w:val="003A3E4E"/>
    <w:rsid w:val="003A3F02"/>
    <w:rsid w:val="003A49C4"/>
    <w:rsid w:val="003A6F88"/>
    <w:rsid w:val="003A753C"/>
    <w:rsid w:val="003B0D9E"/>
    <w:rsid w:val="003B12E6"/>
    <w:rsid w:val="003B1318"/>
    <w:rsid w:val="003B555A"/>
    <w:rsid w:val="003B7A75"/>
    <w:rsid w:val="003C2022"/>
    <w:rsid w:val="003C3C22"/>
    <w:rsid w:val="003C49B8"/>
    <w:rsid w:val="003C6AD4"/>
    <w:rsid w:val="003D049A"/>
    <w:rsid w:val="003D059F"/>
    <w:rsid w:val="003D0F96"/>
    <w:rsid w:val="003D2D6A"/>
    <w:rsid w:val="003D2E90"/>
    <w:rsid w:val="003D70BD"/>
    <w:rsid w:val="003D73CE"/>
    <w:rsid w:val="003E1003"/>
    <w:rsid w:val="003E1D5F"/>
    <w:rsid w:val="003E4DF5"/>
    <w:rsid w:val="003E5F73"/>
    <w:rsid w:val="003E6F5E"/>
    <w:rsid w:val="003E704B"/>
    <w:rsid w:val="003F0388"/>
    <w:rsid w:val="003F1E32"/>
    <w:rsid w:val="003F2799"/>
    <w:rsid w:val="003F2919"/>
    <w:rsid w:val="003F36BD"/>
    <w:rsid w:val="003F42E0"/>
    <w:rsid w:val="003F53E3"/>
    <w:rsid w:val="003F7E0A"/>
    <w:rsid w:val="003F7E76"/>
    <w:rsid w:val="00400F88"/>
    <w:rsid w:val="00401E4D"/>
    <w:rsid w:val="00401F11"/>
    <w:rsid w:val="004044C5"/>
    <w:rsid w:val="00404597"/>
    <w:rsid w:val="00405184"/>
    <w:rsid w:val="004104F8"/>
    <w:rsid w:val="00412BFF"/>
    <w:rsid w:val="00417417"/>
    <w:rsid w:val="004200D6"/>
    <w:rsid w:val="00421919"/>
    <w:rsid w:val="00422D5A"/>
    <w:rsid w:val="00423261"/>
    <w:rsid w:val="00423345"/>
    <w:rsid w:val="004252C7"/>
    <w:rsid w:val="00427527"/>
    <w:rsid w:val="00427897"/>
    <w:rsid w:val="004301BA"/>
    <w:rsid w:val="00431978"/>
    <w:rsid w:val="004331AE"/>
    <w:rsid w:val="00434767"/>
    <w:rsid w:val="004361C9"/>
    <w:rsid w:val="004369F2"/>
    <w:rsid w:val="00440243"/>
    <w:rsid w:val="00441473"/>
    <w:rsid w:val="00442DA0"/>
    <w:rsid w:val="004432EF"/>
    <w:rsid w:val="00443532"/>
    <w:rsid w:val="004473C6"/>
    <w:rsid w:val="00450A9D"/>
    <w:rsid w:val="00451AAE"/>
    <w:rsid w:val="00452D7F"/>
    <w:rsid w:val="00453EF8"/>
    <w:rsid w:val="00456ACE"/>
    <w:rsid w:val="00456E0D"/>
    <w:rsid w:val="00457606"/>
    <w:rsid w:val="004578AF"/>
    <w:rsid w:val="00457D42"/>
    <w:rsid w:val="004615D7"/>
    <w:rsid w:val="00463D4F"/>
    <w:rsid w:val="00464EBE"/>
    <w:rsid w:val="004671BA"/>
    <w:rsid w:val="00467A09"/>
    <w:rsid w:val="00470C9E"/>
    <w:rsid w:val="0047367E"/>
    <w:rsid w:val="00474A2A"/>
    <w:rsid w:val="00475D70"/>
    <w:rsid w:val="00476407"/>
    <w:rsid w:val="00476458"/>
    <w:rsid w:val="00476561"/>
    <w:rsid w:val="00483359"/>
    <w:rsid w:val="00493FE3"/>
    <w:rsid w:val="004944C1"/>
    <w:rsid w:val="0049496A"/>
    <w:rsid w:val="00494D3C"/>
    <w:rsid w:val="0049559B"/>
    <w:rsid w:val="004956B0"/>
    <w:rsid w:val="00495FA6"/>
    <w:rsid w:val="004960F8"/>
    <w:rsid w:val="00497052"/>
    <w:rsid w:val="004A0C72"/>
    <w:rsid w:val="004A0D9D"/>
    <w:rsid w:val="004A1CBA"/>
    <w:rsid w:val="004A1EF5"/>
    <w:rsid w:val="004A2C53"/>
    <w:rsid w:val="004A4417"/>
    <w:rsid w:val="004A4A58"/>
    <w:rsid w:val="004A4EC8"/>
    <w:rsid w:val="004A7BCB"/>
    <w:rsid w:val="004A7F6B"/>
    <w:rsid w:val="004B05FB"/>
    <w:rsid w:val="004B1062"/>
    <w:rsid w:val="004B10D9"/>
    <w:rsid w:val="004B497B"/>
    <w:rsid w:val="004B70E7"/>
    <w:rsid w:val="004C03BA"/>
    <w:rsid w:val="004C2718"/>
    <w:rsid w:val="004C3467"/>
    <w:rsid w:val="004C3F52"/>
    <w:rsid w:val="004C5560"/>
    <w:rsid w:val="004C5918"/>
    <w:rsid w:val="004C7ED9"/>
    <w:rsid w:val="004D0CF4"/>
    <w:rsid w:val="004D1F42"/>
    <w:rsid w:val="004D25B6"/>
    <w:rsid w:val="004D26F0"/>
    <w:rsid w:val="004D3E65"/>
    <w:rsid w:val="004D5972"/>
    <w:rsid w:val="004D6ED6"/>
    <w:rsid w:val="004D7B44"/>
    <w:rsid w:val="004E124C"/>
    <w:rsid w:val="004E1796"/>
    <w:rsid w:val="004E3625"/>
    <w:rsid w:val="004E4936"/>
    <w:rsid w:val="004E5633"/>
    <w:rsid w:val="004E7037"/>
    <w:rsid w:val="004F20F9"/>
    <w:rsid w:val="004F220B"/>
    <w:rsid w:val="004F3BD2"/>
    <w:rsid w:val="004F45DC"/>
    <w:rsid w:val="004F4868"/>
    <w:rsid w:val="004F65A7"/>
    <w:rsid w:val="005014E6"/>
    <w:rsid w:val="00504E79"/>
    <w:rsid w:val="00506F6E"/>
    <w:rsid w:val="005132D8"/>
    <w:rsid w:val="00514B1A"/>
    <w:rsid w:val="00520B0F"/>
    <w:rsid w:val="00520CC2"/>
    <w:rsid w:val="00521A3C"/>
    <w:rsid w:val="00522510"/>
    <w:rsid w:val="005233BB"/>
    <w:rsid w:val="00525AF4"/>
    <w:rsid w:val="00525D89"/>
    <w:rsid w:val="005305A4"/>
    <w:rsid w:val="005311F7"/>
    <w:rsid w:val="005331CA"/>
    <w:rsid w:val="00533349"/>
    <w:rsid w:val="00533C29"/>
    <w:rsid w:val="005342BA"/>
    <w:rsid w:val="005354E0"/>
    <w:rsid w:val="00535CEA"/>
    <w:rsid w:val="00540F01"/>
    <w:rsid w:val="0054154E"/>
    <w:rsid w:val="00542EE6"/>
    <w:rsid w:val="005433E4"/>
    <w:rsid w:val="00545B68"/>
    <w:rsid w:val="00545FC6"/>
    <w:rsid w:val="00546322"/>
    <w:rsid w:val="0054673A"/>
    <w:rsid w:val="005474FB"/>
    <w:rsid w:val="0054777B"/>
    <w:rsid w:val="00547CAC"/>
    <w:rsid w:val="005553D1"/>
    <w:rsid w:val="00556382"/>
    <w:rsid w:val="00556B61"/>
    <w:rsid w:val="00556EAF"/>
    <w:rsid w:val="00562C35"/>
    <w:rsid w:val="00562E74"/>
    <w:rsid w:val="005639B7"/>
    <w:rsid w:val="00563A1E"/>
    <w:rsid w:val="0056454E"/>
    <w:rsid w:val="005654F1"/>
    <w:rsid w:val="005709DF"/>
    <w:rsid w:val="0057369C"/>
    <w:rsid w:val="005739E3"/>
    <w:rsid w:val="00574882"/>
    <w:rsid w:val="00574B57"/>
    <w:rsid w:val="00574E37"/>
    <w:rsid w:val="00574FB8"/>
    <w:rsid w:val="005754F9"/>
    <w:rsid w:val="005758E3"/>
    <w:rsid w:val="005762BB"/>
    <w:rsid w:val="005812FB"/>
    <w:rsid w:val="00583020"/>
    <w:rsid w:val="0058309C"/>
    <w:rsid w:val="00583DDD"/>
    <w:rsid w:val="00584236"/>
    <w:rsid w:val="00584F84"/>
    <w:rsid w:val="005871CF"/>
    <w:rsid w:val="005922C9"/>
    <w:rsid w:val="005931C8"/>
    <w:rsid w:val="005A04AB"/>
    <w:rsid w:val="005A04FF"/>
    <w:rsid w:val="005A61C0"/>
    <w:rsid w:val="005B2F91"/>
    <w:rsid w:val="005B3377"/>
    <w:rsid w:val="005B3601"/>
    <w:rsid w:val="005B402A"/>
    <w:rsid w:val="005B6422"/>
    <w:rsid w:val="005B66B6"/>
    <w:rsid w:val="005B6864"/>
    <w:rsid w:val="005B7EE7"/>
    <w:rsid w:val="005C0BD9"/>
    <w:rsid w:val="005C12E0"/>
    <w:rsid w:val="005C50F1"/>
    <w:rsid w:val="005C5CDE"/>
    <w:rsid w:val="005C7DD4"/>
    <w:rsid w:val="005D4109"/>
    <w:rsid w:val="005D480E"/>
    <w:rsid w:val="005D5B46"/>
    <w:rsid w:val="005D77EC"/>
    <w:rsid w:val="005D7A7F"/>
    <w:rsid w:val="005D7A81"/>
    <w:rsid w:val="005E05B7"/>
    <w:rsid w:val="005E0C65"/>
    <w:rsid w:val="005E147D"/>
    <w:rsid w:val="005E233F"/>
    <w:rsid w:val="005E37B1"/>
    <w:rsid w:val="005E5AC3"/>
    <w:rsid w:val="005E6595"/>
    <w:rsid w:val="005E7172"/>
    <w:rsid w:val="005E7DDC"/>
    <w:rsid w:val="005F333D"/>
    <w:rsid w:val="005F463F"/>
    <w:rsid w:val="005F5584"/>
    <w:rsid w:val="005F6992"/>
    <w:rsid w:val="005F7697"/>
    <w:rsid w:val="00600150"/>
    <w:rsid w:val="006015F3"/>
    <w:rsid w:val="006017C4"/>
    <w:rsid w:val="00603A8B"/>
    <w:rsid w:val="006047AC"/>
    <w:rsid w:val="006068B6"/>
    <w:rsid w:val="006068FA"/>
    <w:rsid w:val="00606B32"/>
    <w:rsid w:val="00606B7F"/>
    <w:rsid w:val="0060700C"/>
    <w:rsid w:val="006104B0"/>
    <w:rsid w:val="006105DF"/>
    <w:rsid w:val="006113E2"/>
    <w:rsid w:val="006115D5"/>
    <w:rsid w:val="006117B4"/>
    <w:rsid w:val="00611EFE"/>
    <w:rsid w:val="00611F60"/>
    <w:rsid w:val="00614A47"/>
    <w:rsid w:val="00614A95"/>
    <w:rsid w:val="0061687C"/>
    <w:rsid w:val="00621C54"/>
    <w:rsid w:val="00621D2D"/>
    <w:rsid w:val="006225DC"/>
    <w:rsid w:val="0062763B"/>
    <w:rsid w:val="00627A0B"/>
    <w:rsid w:val="0063229F"/>
    <w:rsid w:val="00632FC5"/>
    <w:rsid w:val="00637161"/>
    <w:rsid w:val="00637A3A"/>
    <w:rsid w:val="00640BE1"/>
    <w:rsid w:val="0064152C"/>
    <w:rsid w:val="006433D6"/>
    <w:rsid w:val="00643707"/>
    <w:rsid w:val="00646699"/>
    <w:rsid w:val="006467DC"/>
    <w:rsid w:val="006503FC"/>
    <w:rsid w:val="00651EA6"/>
    <w:rsid w:val="006538D3"/>
    <w:rsid w:val="00653B9C"/>
    <w:rsid w:val="00654147"/>
    <w:rsid w:val="006560D1"/>
    <w:rsid w:val="0066182F"/>
    <w:rsid w:val="00663E06"/>
    <w:rsid w:val="00666783"/>
    <w:rsid w:val="006705FB"/>
    <w:rsid w:val="00672E61"/>
    <w:rsid w:val="00673FFF"/>
    <w:rsid w:val="006740DE"/>
    <w:rsid w:val="00677F1A"/>
    <w:rsid w:val="00680AB5"/>
    <w:rsid w:val="00680E46"/>
    <w:rsid w:val="00683D22"/>
    <w:rsid w:val="00685117"/>
    <w:rsid w:val="00692038"/>
    <w:rsid w:val="006948C1"/>
    <w:rsid w:val="0069511F"/>
    <w:rsid w:val="006A001A"/>
    <w:rsid w:val="006A0481"/>
    <w:rsid w:val="006A1721"/>
    <w:rsid w:val="006A31A0"/>
    <w:rsid w:val="006A390B"/>
    <w:rsid w:val="006A58CE"/>
    <w:rsid w:val="006A5AA9"/>
    <w:rsid w:val="006A6B75"/>
    <w:rsid w:val="006A6EEC"/>
    <w:rsid w:val="006B07DC"/>
    <w:rsid w:val="006B0A35"/>
    <w:rsid w:val="006B4D08"/>
    <w:rsid w:val="006B6C5E"/>
    <w:rsid w:val="006C0473"/>
    <w:rsid w:val="006C090E"/>
    <w:rsid w:val="006C0B3C"/>
    <w:rsid w:val="006C18ED"/>
    <w:rsid w:val="006C201B"/>
    <w:rsid w:val="006C45FF"/>
    <w:rsid w:val="006C48E0"/>
    <w:rsid w:val="006C4DDB"/>
    <w:rsid w:val="006C72B4"/>
    <w:rsid w:val="006C73D5"/>
    <w:rsid w:val="006D07D4"/>
    <w:rsid w:val="006D23BD"/>
    <w:rsid w:val="006D37E3"/>
    <w:rsid w:val="006D3E9F"/>
    <w:rsid w:val="006D5EF5"/>
    <w:rsid w:val="006D72C9"/>
    <w:rsid w:val="006E1B6D"/>
    <w:rsid w:val="006E77B0"/>
    <w:rsid w:val="006F09B8"/>
    <w:rsid w:val="006F2279"/>
    <w:rsid w:val="006F2D73"/>
    <w:rsid w:val="006F48C0"/>
    <w:rsid w:val="006F5B25"/>
    <w:rsid w:val="006F6D94"/>
    <w:rsid w:val="006F7952"/>
    <w:rsid w:val="00701EC2"/>
    <w:rsid w:val="007049A3"/>
    <w:rsid w:val="00710273"/>
    <w:rsid w:val="00710347"/>
    <w:rsid w:val="00710896"/>
    <w:rsid w:val="00711A26"/>
    <w:rsid w:val="00711CEE"/>
    <w:rsid w:val="00713113"/>
    <w:rsid w:val="0071315A"/>
    <w:rsid w:val="007155AA"/>
    <w:rsid w:val="0071580C"/>
    <w:rsid w:val="007202BC"/>
    <w:rsid w:val="00720902"/>
    <w:rsid w:val="00720A93"/>
    <w:rsid w:val="00724906"/>
    <w:rsid w:val="00724944"/>
    <w:rsid w:val="00724980"/>
    <w:rsid w:val="00732792"/>
    <w:rsid w:val="00733BCB"/>
    <w:rsid w:val="00733FD6"/>
    <w:rsid w:val="00734492"/>
    <w:rsid w:val="0073514B"/>
    <w:rsid w:val="0073610E"/>
    <w:rsid w:val="00737038"/>
    <w:rsid w:val="00737467"/>
    <w:rsid w:val="00737D62"/>
    <w:rsid w:val="0074023B"/>
    <w:rsid w:val="00740A06"/>
    <w:rsid w:val="007416F7"/>
    <w:rsid w:val="007438F0"/>
    <w:rsid w:val="007447E0"/>
    <w:rsid w:val="007458DF"/>
    <w:rsid w:val="00751A3F"/>
    <w:rsid w:val="007524C5"/>
    <w:rsid w:val="0075496C"/>
    <w:rsid w:val="00755547"/>
    <w:rsid w:val="007579A8"/>
    <w:rsid w:val="00760607"/>
    <w:rsid w:val="00761D55"/>
    <w:rsid w:val="007623A8"/>
    <w:rsid w:val="00765D68"/>
    <w:rsid w:val="00766FFF"/>
    <w:rsid w:val="00772A24"/>
    <w:rsid w:val="00772D8F"/>
    <w:rsid w:val="00774552"/>
    <w:rsid w:val="007750A2"/>
    <w:rsid w:val="007759B0"/>
    <w:rsid w:val="00775EA4"/>
    <w:rsid w:val="007765E0"/>
    <w:rsid w:val="00776E03"/>
    <w:rsid w:val="0077745F"/>
    <w:rsid w:val="00780274"/>
    <w:rsid w:val="00780B97"/>
    <w:rsid w:val="0078323D"/>
    <w:rsid w:val="00783C25"/>
    <w:rsid w:val="00785EAB"/>
    <w:rsid w:val="007865F6"/>
    <w:rsid w:val="00786D9E"/>
    <w:rsid w:val="0078780E"/>
    <w:rsid w:val="0079037C"/>
    <w:rsid w:val="007919AD"/>
    <w:rsid w:val="0079219F"/>
    <w:rsid w:val="0079289F"/>
    <w:rsid w:val="00793EB6"/>
    <w:rsid w:val="00793FB8"/>
    <w:rsid w:val="0079458B"/>
    <w:rsid w:val="0079556D"/>
    <w:rsid w:val="007A036F"/>
    <w:rsid w:val="007A334E"/>
    <w:rsid w:val="007A7600"/>
    <w:rsid w:val="007A7EC3"/>
    <w:rsid w:val="007B0181"/>
    <w:rsid w:val="007B3371"/>
    <w:rsid w:val="007B3479"/>
    <w:rsid w:val="007B4B13"/>
    <w:rsid w:val="007B4CC7"/>
    <w:rsid w:val="007B546A"/>
    <w:rsid w:val="007B6598"/>
    <w:rsid w:val="007B6E2B"/>
    <w:rsid w:val="007B7B9C"/>
    <w:rsid w:val="007C2B7C"/>
    <w:rsid w:val="007C3CC8"/>
    <w:rsid w:val="007C428D"/>
    <w:rsid w:val="007C581F"/>
    <w:rsid w:val="007C6A37"/>
    <w:rsid w:val="007C7AAD"/>
    <w:rsid w:val="007D200B"/>
    <w:rsid w:val="007D2860"/>
    <w:rsid w:val="007D3685"/>
    <w:rsid w:val="007D3B12"/>
    <w:rsid w:val="007D544D"/>
    <w:rsid w:val="007D5F36"/>
    <w:rsid w:val="007E0242"/>
    <w:rsid w:val="007E14A6"/>
    <w:rsid w:val="007E16B1"/>
    <w:rsid w:val="007E33A2"/>
    <w:rsid w:val="007E4D8D"/>
    <w:rsid w:val="007E52A6"/>
    <w:rsid w:val="007E565F"/>
    <w:rsid w:val="007E5852"/>
    <w:rsid w:val="007E5D54"/>
    <w:rsid w:val="007E6A41"/>
    <w:rsid w:val="007E6C5D"/>
    <w:rsid w:val="007E7B85"/>
    <w:rsid w:val="007F0413"/>
    <w:rsid w:val="007F0E55"/>
    <w:rsid w:val="007F71F8"/>
    <w:rsid w:val="008013A5"/>
    <w:rsid w:val="0080523E"/>
    <w:rsid w:val="008058F7"/>
    <w:rsid w:val="0080640E"/>
    <w:rsid w:val="0080662E"/>
    <w:rsid w:val="00811133"/>
    <w:rsid w:val="00811D66"/>
    <w:rsid w:val="00815265"/>
    <w:rsid w:val="00815AA2"/>
    <w:rsid w:val="00817FA7"/>
    <w:rsid w:val="00822A29"/>
    <w:rsid w:val="00822CC6"/>
    <w:rsid w:val="00827EEC"/>
    <w:rsid w:val="0083231B"/>
    <w:rsid w:val="008352B2"/>
    <w:rsid w:val="00835455"/>
    <w:rsid w:val="00835BAB"/>
    <w:rsid w:val="0083663F"/>
    <w:rsid w:val="00837401"/>
    <w:rsid w:val="00837F83"/>
    <w:rsid w:val="008402B1"/>
    <w:rsid w:val="00841039"/>
    <w:rsid w:val="0084104D"/>
    <w:rsid w:val="008414EE"/>
    <w:rsid w:val="0084265C"/>
    <w:rsid w:val="00844492"/>
    <w:rsid w:val="00844F5D"/>
    <w:rsid w:val="00846B00"/>
    <w:rsid w:val="008522D5"/>
    <w:rsid w:val="00852D32"/>
    <w:rsid w:val="00855269"/>
    <w:rsid w:val="0086012D"/>
    <w:rsid w:val="00860D96"/>
    <w:rsid w:val="00862156"/>
    <w:rsid w:val="008627D6"/>
    <w:rsid w:val="008633B8"/>
    <w:rsid w:val="00863815"/>
    <w:rsid w:val="00864A52"/>
    <w:rsid w:val="00865FCF"/>
    <w:rsid w:val="00871F10"/>
    <w:rsid w:val="0087275A"/>
    <w:rsid w:val="008759D2"/>
    <w:rsid w:val="0088061C"/>
    <w:rsid w:val="00882ED9"/>
    <w:rsid w:val="00884DB1"/>
    <w:rsid w:val="00884E8E"/>
    <w:rsid w:val="0088558E"/>
    <w:rsid w:val="00885D39"/>
    <w:rsid w:val="0088630E"/>
    <w:rsid w:val="0088641A"/>
    <w:rsid w:val="0088745D"/>
    <w:rsid w:val="00890DF5"/>
    <w:rsid w:val="008943AF"/>
    <w:rsid w:val="008A1D42"/>
    <w:rsid w:val="008A2056"/>
    <w:rsid w:val="008A26EA"/>
    <w:rsid w:val="008A57B5"/>
    <w:rsid w:val="008A619E"/>
    <w:rsid w:val="008A6544"/>
    <w:rsid w:val="008A7201"/>
    <w:rsid w:val="008B1AD3"/>
    <w:rsid w:val="008B2F89"/>
    <w:rsid w:val="008B3C47"/>
    <w:rsid w:val="008B41DD"/>
    <w:rsid w:val="008B62F3"/>
    <w:rsid w:val="008B7E68"/>
    <w:rsid w:val="008C05F0"/>
    <w:rsid w:val="008C2051"/>
    <w:rsid w:val="008C6B6B"/>
    <w:rsid w:val="008C6DED"/>
    <w:rsid w:val="008C791D"/>
    <w:rsid w:val="008D30C2"/>
    <w:rsid w:val="008D3E7B"/>
    <w:rsid w:val="008D4E37"/>
    <w:rsid w:val="008D4FA6"/>
    <w:rsid w:val="008D57B8"/>
    <w:rsid w:val="008D7E97"/>
    <w:rsid w:val="008E14E9"/>
    <w:rsid w:val="008E4814"/>
    <w:rsid w:val="008E4CED"/>
    <w:rsid w:val="008E6B12"/>
    <w:rsid w:val="008E7116"/>
    <w:rsid w:val="008E72A4"/>
    <w:rsid w:val="008E7C54"/>
    <w:rsid w:val="008E7EFC"/>
    <w:rsid w:val="008F0854"/>
    <w:rsid w:val="008F1705"/>
    <w:rsid w:val="008F20E8"/>
    <w:rsid w:val="008F2DDB"/>
    <w:rsid w:val="008F494C"/>
    <w:rsid w:val="008F5E3B"/>
    <w:rsid w:val="008F7D79"/>
    <w:rsid w:val="00900762"/>
    <w:rsid w:val="00902D65"/>
    <w:rsid w:val="009033C4"/>
    <w:rsid w:val="00904EA5"/>
    <w:rsid w:val="00905C84"/>
    <w:rsid w:val="009063C6"/>
    <w:rsid w:val="00906775"/>
    <w:rsid w:val="00906944"/>
    <w:rsid w:val="00910BFD"/>
    <w:rsid w:val="00911436"/>
    <w:rsid w:val="00912A13"/>
    <w:rsid w:val="009142DE"/>
    <w:rsid w:val="00915DA7"/>
    <w:rsid w:val="0091611C"/>
    <w:rsid w:val="00917C5E"/>
    <w:rsid w:val="00917E6D"/>
    <w:rsid w:val="00920118"/>
    <w:rsid w:val="00920E7F"/>
    <w:rsid w:val="0092112C"/>
    <w:rsid w:val="00921CFD"/>
    <w:rsid w:val="0092389B"/>
    <w:rsid w:val="0092703E"/>
    <w:rsid w:val="00931975"/>
    <w:rsid w:val="00932E63"/>
    <w:rsid w:val="00933D4C"/>
    <w:rsid w:val="00933DC1"/>
    <w:rsid w:val="00940381"/>
    <w:rsid w:val="00940A5B"/>
    <w:rsid w:val="0094141A"/>
    <w:rsid w:val="00942033"/>
    <w:rsid w:val="00942371"/>
    <w:rsid w:val="009427C3"/>
    <w:rsid w:val="00942C0D"/>
    <w:rsid w:val="0094412B"/>
    <w:rsid w:val="00944B94"/>
    <w:rsid w:val="00946AB8"/>
    <w:rsid w:val="00951EE5"/>
    <w:rsid w:val="009520DC"/>
    <w:rsid w:val="00954115"/>
    <w:rsid w:val="009547CD"/>
    <w:rsid w:val="00956C36"/>
    <w:rsid w:val="0096171B"/>
    <w:rsid w:val="00961BA6"/>
    <w:rsid w:val="0096232D"/>
    <w:rsid w:val="00962E97"/>
    <w:rsid w:val="009643AB"/>
    <w:rsid w:val="009657C2"/>
    <w:rsid w:val="00965C54"/>
    <w:rsid w:val="009667AC"/>
    <w:rsid w:val="00966E9E"/>
    <w:rsid w:val="009702AE"/>
    <w:rsid w:val="00971DF6"/>
    <w:rsid w:val="00972575"/>
    <w:rsid w:val="00972F17"/>
    <w:rsid w:val="00973AA4"/>
    <w:rsid w:val="00974758"/>
    <w:rsid w:val="00974E49"/>
    <w:rsid w:val="009760AC"/>
    <w:rsid w:val="00981A7E"/>
    <w:rsid w:val="00981E5A"/>
    <w:rsid w:val="00982777"/>
    <w:rsid w:val="00982A60"/>
    <w:rsid w:val="00982CEA"/>
    <w:rsid w:val="0098380D"/>
    <w:rsid w:val="00985956"/>
    <w:rsid w:val="00985B1F"/>
    <w:rsid w:val="00987F41"/>
    <w:rsid w:val="00991112"/>
    <w:rsid w:val="009928E6"/>
    <w:rsid w:val="00994B05"/>
    <w:rsid w:val="00996D6B"/>
    <w:rsid w:val="009971C2"/>
    <w:rsid w:val="00997214"/>
    <w:rsid w:val="0099785B"/>
    <w:rsid w:val="009A02E9"/>
    <w:rsid w:val="009A10D0"/>
    <w:rsid w:val="009A227F"/>
    <w:rsid w:val="009A2C62"/>
    <w:rsid w:val="009A39FF"/>
    <w:rsid w:val="009A549C"/>
    <w:rsid w:val="009A6E64"/>
    <w:rsid w:val="009B0205"/>
    <w:rsid w:val="009B02A8"/>
    <w:rsid w:val="009B03F1"/>
    <w:rsid w:val="009B1568"/>
    <w:rsid w:val="009B1A12"/>
    <w:rsid w:val="009B2131"/>
    <w:rsid w:val="009B29E6"/>
    <w:rsid w:val="009B4462"/>
    <w:rsid w:val="009B4659"/>
    <w:rsid w:val="009B7376"/>
    <w:rsid w:val="009B7BD4"/>
    <w:rsid w:val="009B7F74"/>
    <w:rsid w:val="009C339A"/>
    <w:rsid w:val="009C50F5"/>
    <w:rsid w:val="009C6F2A"/>
    <w:rsid w:val="009D1282"/>
    <w:rsid w:val="009D171F"/>
    <w:rsid w:val="009D1FD3"/>
    <w:rsid w:val="009D2C19"/>
    <w:rsid w:val="009D3B51"/>
    <w:rsid w:val="009D5594"/>
    <w:rsid w:val="009D5C6C"/>
    <w:rsid w:val="009D602C"/>
    <w:rsid w:val="009D60F6"/>
    <w:rsid w:val="009E18B2"/>
    <w:rsid w:val="009E30A0"/>
    <w:rsid w:val="009E3865"/>
    <w:rsid w:val="009E3D41"/>
    <w:rsid w:val="009E5044"/>
    <w:rsid w:val="009E5FC8"/>
    <w:rsid w:val="009E6172"/>
    <w:rsid w:val="009F0322"/>
    <w:rsid w:val="009F0EA5"/>
    <w:rsid w:val="009F1EC4"/>
    <w:rsid w:val="009F288D"/>
    <w:rsid w:val="009F28B7"/>
    <w:rsid w:val="009F380E"/>
    <w:rsid w:val="009F4E31"/>
    <w:rsid w:val="009F63D3"/>
    <w:rsid w:val="009F7FEA"/>
    <w:rsid w:val="00A004F9"/>
    <w:rsid w:val="00A007A1"/>
    <w:rsid w:val="00A0099D"/>
    <w:rsid w:val="00A04928"/>
    <w:rsid w:val="00A061AF"/>
    <w:rsid w:val="00A06E04"/>
    <w:rsid w:val="00A07CAE"/>
    <w:rsid w:val="00A1025B"/>
    <w:rsid w:val="00A119FB"/>
    <w:rsid w:val="00A12ADC"/>
    <w:rsid w:val="00A12D4F"/>
    <w:rsid w:val="00A13369"/>
    <w:rsid w:val="00A13573"/>
    <w:rsid w:val="00A14DE9"/>
    <w:rsid w:val="00A218B0"/>
    <w:rsid w:val="00A21966"/>
    <w:rsid w:val="00A227CD"/>
    <w:rsid w:val="00A24117"/>
    <w:rsid w:val="00A264A7"/>
    <w:rsid w:val="00A275D0"/>
    <w:rsid w:val="00A27ABB"/>
    <w:rsid w:val="00A306EA"/>
    <w:rsid w:val="00A312FC"/>
    <w:rsid w:val="00A3137F"/>
    <w:rsid w:val="00A31B2F"/>
    <w:rsid w:val="00A323AE"/>
    <w:rsid w:val="00A32A7B"/>
    <w:rsid w:val="00A34B94"/>
    <w:rsid w:val="00A35888"/>
    <w:rsid w:val="00A36153"/>
    <w:rsid w:val="00A36B4A"/>
    <w:rsid w:val="00A3728C"/>
    <w:rsid w:val="00A40235"/>
    <w:rsid w:val="00A41AE0"/>
    <w:rsid w:val="00A41F72"/>
    <w:rsid w:val="00A43151"/>
    <w:rsid w:val="00A446A3"/>
    <w:rsid w:val="00A45193"/>
    <w:rsid w:val="00A458C3"/>
    <w:rsid w:val="00A4663A"/>
    <w:rsid w:val="00A46A44"/>
    <w:rsid w:val="00A46ADB"/>
    <w:rsid w:val="00A509FE"/>
    <w:rsid w:val="00A52FB5"/>
    <w:rsid w:val="00A55AAB"/>
    <w:rsid w:val="00A55D05"/>
    <w:rsid w:val="00A57AFB"/>
    <w:rsid w:val="00A60B7A"/>
    <w:rsid w:val="00A60BF9"/>
    <w:rsid w:val="00A60E72"/>
    <w:rsid w:val="00A61BA4"/>
    <w:rsid w:val="00A64267"/>
    <w:rsid w:val="00A65BC2"/>
    <w:rsid w:val="00A65F65"/>
    <w:rsid w:val="00A677B7"/>
    <w:rsid w:val="00A700DA"/>
    <w:rsid w:val="00A71C70"/>
    <w:rsid w:val="00A71EC9"/>
    <w:rsid w:val="00A73716"/>
    <w:rsid w:val="00A75451"/>
    <w:rsid w:val="00A76BFD"/>
    <w:rsid w:val="00A8014A"/>
    <w:rsid w:val="00A81082"/>
    <w:rsid w:val="00A810F4"/>
    <w:rsid w:val="00A827A9"/>
    <w:rsid w:val="00A83153"/>
    <w:rsid w:val="00A83579"/>
    <w:rsid w:val="00A836AC"/>
    <w:rsid w:val="00A85F9A"/>
    <w:rsid w:val="00A8601B"/>
    <w:rsid w:val="00A879B7"/>
    <w:rsid w:val="00A90530"/>
    <w:rsid w:val="00A90580"/>
    <w:rsid w:val="00A9183C"/>
    <w:rsid w:val="00A94307"/>
    <w:rsid w:val="00A944CB"/>
    <w:rsid w:val="00A94697"/>
    <w:rsid w:val="00A957B2"/>
    <w:rsid w:val="00A96B19"/>
    <w:rsid w:val="00AA039B"/>
    <w:rsid w:val="00AA04C9"/>
    <w:rsid w:val="00AA0D67"/>
    <w:rsid w:val="00AA12F3"/>
    <w:rsid w:val="00AA1F49"/>
    <w:rsid w:val="00AA3EDF"/>
    <w:rsid w:val="00AA3EEF"/>
    <w:rsid w:val="00AA513E"/>
    <w:rsid w:val="00AA67C8"/>
    <w:rsid w:val="00AA73AA"/>
    <w:rsid w:val="00AA7FE0"/>
    <w:rsid w:val="00AB1670"/>
    <w:rsid w:val="00AB281B"/>
    <w:rsid w:val="00AB2DC0"/>
    <w:rsid w:val="00AB382F"/>
    <w:rsid w:val="00AB45EC"/>
    <w:rsid w:val="00AB7026"/>
    <w:rsid w:val="00AB71CC"/>
    <w:rsid w:val="00AC0BC6"/>
    <w:rsid w:val="00AC2171"/>
    <w:rsid w:val="00AC40E0"/>
    <w:rsid w:val="00AC69A5"/>
    <w:rsid w:val="00AC6C05"/>
    <w:rsid w:val="00AC75F1"/>
    <w:rsid w:val="00AD2572"/>
    <w:rsid w:val="00AD418D"/>
    <w:rsid w:val="00AD49B3"/>
    <w:rsid w:val="00AD49EB"/>
    <w:rsid w:val="00AD4D97"/>
    <w:rsid w:val="00AD561E"/>
    <w:rsid w:val="00AD6FA1"/>
    <w:rsid w:val="00AD7647"/>
    <w:rsid w:val="00AD7977"/>
    <w:rsid w:val="00AE07B3"/>
    <w:rsid w:val="00AE1561"/>
    <w:rsid w:val="00AE2EFA"/>
    <w:rsid w:val="00AE4972"/>
    <w:rsid w:val="00AE6F74"/>
    <w:rsid w:val="00AE702B"/>
    <w:rsid w:val="00AF1727"/>
    <w:rsid w:val="00AF1AFD"/>
    <w:rsid w:val="00AF29C2"/>
    <w:rsid w:val="00AF3B34"/>
    <w:rsid w:val="00AF6AA3"/>
    <w:rsid w:val="00B01477"/>
    <w:rsid w:val="00B01C92"/>
    <w:rsid w:val="00B04370"/>
    <w:rsid w:val="00B04596"/>
    <w:rsid w:val="00B05116"/>
    <w:rsid w:val="00B06969"/>
    <w:rsid w:val="00B12BE3"/>
    <w:rsid w:val="00B13554"/>
    <w:rsid w:val="00B1679E"/>
    <w:rsid w:val="00B17388"/>
    <w:rsid w:val="00B20650"/>
    <w:rsid w:val="00B21590"/>
    <w:rsid w:val="00B22845"/>
    <w:rsid w:val="00B23123"/>
    <w:rsid w:val="00B237F9"/>
    <w:rsid w:val="00B247E8"/>
    <w:rsid w:val="00B24970"/>
    <w:rsid w:val="00B27F65"/>
    <w:rsid w:val="00B30752"/>
    <w:rsid w:val="00B3119D"/>
    <w:rsid w:val="00B32D85"/>
    <w:rsid w:val="00B369CD"/>
    <w:rsid w:val="00B37C35"/>
    <w:rsid w:val="00B40B31"/>
    <w:rsid w:val="00B425DA"/>
    <w:rsid w:val="00B4586F"/>
    <w:rsid w:val="00B45D04"/>
    <w:rsid w:val="00B46383"/>
    <w:rsid w:val="00B47388"/>
    <w:rsid w:val="00B4751D"/>
    <w:rsid w:val="00B51C16"/>
    <w:rsid w:val="00B52598"/>
    <w:rsid w:val="00B53E87"/>
    <w:rsid w:val="00B5405D"/>
    <w:rsid w:val="00B5432A"/>
    <w:rsid w:val="00B54F28"/>
    <w:rsid w:val="00B55FE5"/>
    <w:rsid w:val="00B56992"/>
    <w:rsid w:val="00B57F23"/>
    <w:rsid w:val="00B60EE4"/>
    <w:rsid w:val="00B610DE"/>
    <w:rsid w:val="00B62602"/>
    <w:rsid w:val="00B62A59"/>
    <w:rsid w:val="00B64259"/>
    <w:rsid w:val="00B64ABE"/>
    <w:rsid w:val="00B66042"/>
    <w:rsid w:val="00B66B27"/>
    <w:rsid w:val="00B66E8D"/>
    <w:rsid w:val="00B7017A"/>
    <w:rsid w:val="00B7163D"/>
    <w:rsid w:val="00B72042"/>
    <w:rsid w:val="00B72275"/>
    <w:rsid w:val="00B73221"/>
    <w:rsid w:val="00B7600D"/>
    <w:rsid w:val="00B777EF"/>
    <w:rsid w:val="00B83EB1"/>
    <w:rsid w:val="00B84998"/>
    <w:rsid w:val="00B85EB3"/>
    <w:rsid w:val="00B86053"/>
    <w:rsid w:val="00B861EE"/>
    <w:rsid w:val="00B90D02"/>
    <w:rsid w:val="00B94470"/>
    <w:rsid w:val="00B9468F"/>
    <w:rsid w:val="00BA070F"/>
    <w:rsid w:val="00BA1904"/>
    <w:rsid w:val="00BA334B"/>
    <w:rsid w:val="00BA4B31"/>
    <w:rsid w:val="00BA4E2E"/>
    <w:rsid w:val="00BA5DA7"/>
    <w:rsid w:val="00BA6197"/>
    <w:rsid w:val="00BA64BD"/>
    <w:rsid w:val="00BA7E52"/>
    <w:rsid w:val="00BB0884"/>
    <w:rsid w:val="00BB08E7"/>
    <w:rsid w:val="00BB16E7"/>
    <w:rsid w:val="00BB4927"/>
    <w:rsid w:val="00BB4E8D"/>
    <w:rsid w:val="00BB5081"/>
    <w:rsid w:val="00BB6BEC"/>
    <w:rsid w:val="00BC01CA"/>
    <w:rsid w:val="00BC1D71"/>
    <w:rsid w:val="00BC22AA"/>
    <w:rsid w:val="00BC22C7"/>
    <w:rsid w:val="00BC2C64"/>
    <w:rsid w:val="00BC2C6D"/>
    <w:rsid w:val="00BC3D76"/>
    <w:rsid w:val="00BC3F76"/>
    <w:rsid w:val="00BC4620"/>
    <w:rsid w:val="00BC560F"/>
    <w:rsid w:val="00BC6DA8"/>
    <w:rsid w:val="00BD1D20"/>
    <w:rsid w:val="00BD413E"/>
    <w:rsid w:val="00BD5530"/>
    <w:rsid w:val="00BD675A"/>
    <w:rsid w:val="00BD6B62"/>
    <w:rsid w:val="00BD7242"/>
    <w:rsid w:val="00BE2170"/>
    <w:rsid w:val="00BE2C50"/>
    <w:rsid w:val="00BE2D2B"/>
    <w:rsid w:val="00BE36FD"/>
    <w:rsid w:val="00BE375E"/>
    <w:rsid w:val="00BE435D"/>
    <w:rsid w:val="00BE5514"/>
    <w:rsid w:val="00BE6C41"/>
    <w:rsid w:val="00BE7178"/>
    <w:rsid w:val="00BE7ED8"/>
    <w:rsid w:val="00BF12CA"/>
    <w:rsid w:val="00BF1330"/>
    <w:rsid w:val="00BF3EEB"/>
    <w:rsid w:val="00BF4519"/>
    <w:rsid w:val="00BF4974"/>
    <w:rsid w:val="00BF5133"/>
    <w:rsid w:val="00BF690B"/>
    <w:rsid w:val="00BF76C2"/>
    <w:rsid w:val="00C00B5A"/>
    <w:rsid w:val="00C015C5"/>
    <w:rsid w:val="00C01FFD"/>
    <w:rsid w:val="00C024D3"/>
    <w:rsid w:val="00C025C6"/>
    <w:rsid w:val="00C02C24"/>
    <w:rsid w:val="00C06CE2"/>
    <w:rsid w:val="00C10C67"/>
    <w:rsid w:val="00C11DF0"/>
    <w:rsid w:val="00C12E37"/>
    <w:rsid w:val="00C144FE"/>
    <w:rsid w:val="00C14B04"/>
    <w:rsid w:val="00C14F8D"/>
    <w:rsid w:val="00C15EC1"/>
    <w:rsid w:val="00C16194"/>
    <w:rsid w:val="00C17D20"/>
    <w:rsid w:val="00C215BC"/>
    <w:rsid w:val="00C24BC9"/>
    <w:rsid w:val="00C24F9A"/>
    <w:rsid w:val="00C27856"/>
    <w:rsid w:val="00C325AE"/>
    <w:rsid w:val="00C33FE0"/>
    <w:rsid w:val="00C354F8"/>
    <w:rsid w:val="00C35895"/>
    <w:rsid w:val="00C37959"/>
    <w:rsid w:val="00C37C66"/>
    <w:rsid w:val="00C419A4"/>
    <w:rsid w:val="00C426F7"/>
    <w:rsid w:val="00C42841"/>
    <w:rsid w:val="00C45008"/>
    <w:rsid w:val="00C46D2F"/>
    <w:rsid w:val="00C50730"/>
    <w:rsid w:val="00C509A4"/>
    <w:rsid w:val="00C50A18"/>
    <w:rsid w:val="00C53BF2"/>
    <w:rsid w:val="00C54314"/>
    <w:rsid w:val="00C5450D"/>
    <w:rsid w:val="00C55C09"/>
    <w:rsid w:val="00C57597"/>
    <w:rsid w:val="00C6051B"/>
    <w:rsid w:val="00C61400"/>
    <w:rsid w:val="00C622B7"/>
    <w:rsid w:val="00C6295A"/>
    <w:rsid w:val="00C64146"/>
    <w:rsid w:val="00C716F3"/>
    <w:rsid w:val="00C72085"/>
    <w:rsid w:val="00C720BA"/>
    <w:rsid w:val="00C720CB"/>
    <w:rsid w:val="00C72655"/>
    <w:rsid w:val="00C738C0"/>
    <w:rsid w:val="00C73F3B"/>
    <w:rsid w:val="00C74479"/>
    <w:rsid w:val="00C75B13"/>
    <w:rsid w:val="00C76106"/>
    <w:rsid w:val="00C76A43"/>
    <w:rsid w:val="00C775F2"/>
    <w:rsid w:val="00C8003D"/>
    <w:rsid w:val="00C819E3"/>
    <w:rsid w:val="00C82300"/>
    <w:rsid w:val="00C83779"/>
    <w:rsid w:val="00C8408A"/>
    <w:rsid w:val="00C860B7"/>
    <w:rsid w:val="00C8639B"/>
    <w:rsid w:val="00C86F73"/>
    <w:rsid w:val="00C91126"/>
    <w:rsid w:val="00C916EA"/>
    <w:rsid w:val="00C91C71"/>
    <w:rsid w:val="00C9540D"/>
    <w:rsid w:val="00C95565"/>
    <w:rsid w:val="00C97CD9"/>
    <w:rsid w:val="00CA348B"/>
    <w:rsid w:val="00CA3EEC"/>
    <w:rsid w:val="00CB209D"/>
    <w:rsid w:val="00CB3B0E"/>
    <w:rsid w:val="00CB3B5F"/>
    <w:rsid w:val="00CB5CFC"/>
    <w:rsid w:val="00CB6B4F"/>
    <w:rsid w:val="00CB7D0D"/>
    <w:rsid w:val="00CC3011"/>
    <w:rsid w:val="00CC332E"/>
    <w:rsid w:val="00CC3FC3"/>
    <w:rsid w:val="00CC4CE8"/>
    <w:rsid w:val="00CC5A93"/>
    <w:rsid w:val="00CC5C31"/>
    <w:rsid w:val="00CC69F4"/>
    <w:rsid w:val="00CC6A97"/>
    <w:rsid w:val="00CC6C75"/>
    <w:rsid w:val="00CC7D7A"/>
    <w:rsid w:val="00CD0A47"/>
    <w:rsid w:val="00CD17AD"/>
    <w:rsid w:val="00CD1D2F"/>
    <w:rsid w:val="00CD2E2B"/>
    <w:rsid w:val="00CD7AFD"/>
    <w:rsid w:val="00CE162F"/>
    <w:rsid w:val="00CE1BA5"/>
    <w:rsid w:val="00CE3D4E"/>
    <w:rsid w:val="00CE4AE0"/>
    <w:rsid w:val="00CE500C"/>
    <w:rsid w:val="00CE5AF3"/>
    <w:rsid w:val="00CE5EA8"/>
    <w:rsid w:val="00CE6302"/>
    <w:rsid w:val="00CE6D06"/>
    <w:rsid w:val="00CE6FC4"/>
    <w:rsid w:val="00CF1077"/>
    <w:rsid w:val="00CF1953"/>
    <w:rsid w:val="00CF2026"/>
    <w:rsid w:val="00CF2D72"/>
    <w:rsid w:val="00CF434E"/>
    <w:rsid w:val="00CF493D"/>
    <w:rsid w:val="00D01767"/>
    <w:rsid w:val="00D01A72"/>
    <w:rsid w:val="00D022B0"/>
    <w:rsid w:val="00D02DC8"/>
    <w:rsid w:val="00D0400F"/>
    <w:rsid w:val="00D04105"/>
    <w:rsid w:val="00D04623"/>
    <w:rsid w:val="00D0465A"/>
    <w:rsid w:val="00D05892"/>
    <w:rsid w:val="00D0692C"/>
    <w:rsid w:val="00D06953"/>
    <w:rsid w:val="00D06CD9"/>
    <w:rsid w:val="00D07303"/>
    <w:rsid w:val="00D11251"/>
    <w:rsid w:val="00D117A7"/>
    <w:rsid w:val="00D11B8F"/>
    <w:rsid w:val="00D11F45"/>
    <w:rsid w:val="00D12D8B"/>
    <w:rsid w:val="00D12ECC"/>
    <w:rsid w:val="00D140BC"/>
    <w:rsid w:val="00D148AF"/>
    <w:rsid w:val="00D1715A"/>
    <w:rsid w:val="00D20156"/>
    <w:rsid w:val="00D216C7"/>
    <w:rsid w:val="00D234CC"/>
    <w:rsid w:val="00D26478"/>
    <w:rsid w:val="00D27401"/>
    <w:rsid w:val="00D30EBA"/>
    <w:rsid w:val="00D31BAF"/>
    <w:rsid w:val="00D31F57"/>
    <w:rsid w:val="00D34DA7"/>
    <w:rsid w:val="00D37219"/>
    <w:rsid w:val="00D403C6"/>
    <w:rsid w:val="00D41F79"/>
    <w:rsid w:val="00D431C0"/>
    <w:rsid w:val="00D44340"/>
    <w:rsid w:val="00D458D6"/>
    <w:rsid w:val="00D46DB4"/>
    <w:rsid w:val="00D47F73"/>
    <w:rsid w:val="00D511A2"/>
    <w:rsid w:val="00D522CF"/>
    <w:rsid w:val="00D52353"/>
    <w:rsid w:val="00D54719"/>
    <w:rsid w:val="00D54B01"/>
    <w:rsid w:val="00D56E8C"/>
    <w:rsid w:val="00D62AE5"/>
    <w:rsid w:val="00D62FC1"/>
    <w:rsid w:val="00D643F0"/>
    <w:rsid w:val="00D64D99"/>
    <w:rsid w:val="00D65F1C"/>
    <w:rsid w:val="00D66606"/>
    <w:rsid w:val="00D66A01"/>
    <w:rsid w:val="00D67652"/>
    <w:rsid w:val="00D67670"/>
    <w:rsid w:val="00D67768"/>
    <w:rsid w:val="00D67A8D"/>
    <w:rsid w:val="00D67AB1"/>
    <w:rsid w:val="00D67B3E"/>
    <w:rsid w:val="00D67FBB"/>
    <w:rsid w:val="00D70599"/>
    <w:rsid w:val="00D71717"/>
    <w:rsid w:val="00D7205D"/>
    <w:rsid w:val="00D73353"/>
    <w:rsid w:val="00D7737C"/>
    <w:rsid w:val="00D77C5E"/>
    <w:rsid w:val="00D8333C"/>
    <w:rsid w:val="00D846AF"/>
    <w:rsid w:val="00D8648C"/>
    <w:rsid w:val="00D87EDF"/>
    <w:rsid w:val="00D90057"/>
    <w:rsid w:val="00D90941"/>
    <w:rsid w:val="00D90992"/>
    <w:rsid w:val="00D92926"/>
    <w:rsid w:val="00D95659"/>
    <w:rsid w:val="00D97272"/>
    <w:rsid w:val="00D97FA2"/>
    <w:rsid w:val="00DA35D4"/>
    <w:rsid w:val="00DA5D78"/>
    <w:rsid w:val="00DA6CD9"/>
    <w:rsid w:val="00DA7324"/>
    <w:rsid w:val="00DA7745"/>
    <w:rsid w:val="00DB1457"/>
    <w:rsid w:val="00DB1FD4"/>
    <w:rsid w:val="00DB4042"/>
    <w:rsid w:val="00DB40FB"/>
    <w:rsid w:val="00DB5145"/>
    <w:rsid w:val="00DB56BF"/>
    <w:rsid w:val="00DB5BC2"/>
    <w:rsid w:val="00DB7BB3"/>
    <w:rsid w:val="00DB7D9E"/>
    <w:rsid w:val="00DB7E4A"/>
    <w:rsid w:val="00DC1D26"/>
    <w:rsid w:val="00DC293D"/>
    <w:rsid w:val="00DC30CD"/>
    <w:rsid w:val="00DC42D7"/>
    <w:rsid w:val="00DC757C"/>
    <w:rsid w:val="00DD119B"/>
    <w:rsid w:val="00DD2435"/>
    <w:rsid w:val="00DD4B86"/>
    <w:rsid w:val="00DD5D30"/>
    <w:rsid w:val="00DD720F"/>
    <w:rsid w:val="00DD74F2"/>
    <w:rsid w:val="00DE02DF"/>
    <w:rsid w:val="00DE20B4"/>
    <w:rsid w:val="00DE310A"/>
    <w:rsid w:val="00DE31F6"/>
    <w:rsid w:val="00DE322E"/>
    <w:rsid w:val="00DE35A1"/>
    <w:rsid w:val="00DE4073"/>
    <w:rsid w:val="00DE464F"/>
    <w:rsid w:val="00DE5514"/>
    <w:rsid w:val="00DE7F9E"/>
    <w:rsid w:val="00DF09C3"/>
    <w:rsid w:val="00DF47C0"/>
    <w:rsid w:val="00DF4875"/>
    <w:rsid w:val="00DF526A"/>
    <w:rsid w:val="00DF5D54"/>
    <w:rsid w:val="00DF60BB"/>
    <w:rsid w:val="00DF68CA"/>
    <w:rsid w:val="00DF6FC7"/>
    <w:rsid w:val="00DF796F"/>
    <w:rsid w:val="00E0056A"/>
    <w:rsid w:val="00E04DAD"/>
    <w:rsid w:val="00E04EB4"/>
    <w:rsid w:val="00E10F2A"/>
    <w:rsid w:val="00E121A9"/>
    <w:rsid w:val="00E12442"/>
    <w:rsid w:val="00E1297A"/>
    <w:rsid w:val="00E13AF5"/>
    <w:rsid w:val="00E13D7A"/>
    <w:rsid w:val="00E1774A"/>
    <w:rsid w:val="00E20443"/>
    <w:rsid w:val="00E23B18"/>
    <w:rsid w:val="00E26FA6"/>
    <w:rsid w:val="00E2772F"/>
    <w:rsid w:val="00E30804"/>
    <w:rsid w:val="00E33071"/>
    <w:rsid w:val="00E34915"/>
    <w:rsid w:val="00E34E17"/>
    <w:rsid w:val="00E3672C"/>
    <w:rsid w:val="00E407F9"/>
    <w:rsid w:val="00E40BA7"/>
    <w:rsid w:val="00E4118F"/>
    <w:rsid w:val="00E42131"/>
    <w:rsid w:val="00E427C2"/>
    <w:rsid w:val="00E427F2"/>
    <w:rsid w:val="00E42D44"/>
    <w:rsid w:val="00E434E7"/>
    <w:rsid w:val="00E450C1"/>
    <w:rsid w:val="00E46FC1"/>
    <w:rsid w:val="00E508B0"/>
    <w:rsid w:val="00E515BB"/>
    <w:rsid w:val="00E521B7"/>
    <w:rsid w:val="00E52B57"/>
    <w:rsid w:val="00E5485D"/>
    <w:rsid w:val="00E54C32"/>
    <w:rsid w:val="00E55008"/>
    <w:rsid w:val="00E550A7"/>
    <w:rsid w:val="00E55A2F"/>
    <w:rsid w:val="00E57213"/>
    <w:rsid w:val="00E57960"/>
    <w:rsid w:val="00E57A5E"/>
    <w:rsid w:val="00E62E95"/>
    <w:rsid w:val="00E630A7"/>
    <w:rsid w:val="00E636D0"/>
    <w:rsid w:val="00E64564"/>
    <w:rsid w:val="00E6600B"/>
    <w:rsid w:val="00E67467"/>
    <w:rsid w:val="00E6769C"/>
    <w:rsid w:val="00E67788"/>
    <w:rsid w:val="00E7149B"/>
    <w:rsid w:val="00E726F2"/>
    <w:rsid w:val="00E73614"/>
    <w:rsid w:val="00E749AE"/>
    <w:rsid w:val="00E760A9"/>
    <w:rsid w:val="00E7677C"/>
    <w:rsid w:val="00E77B75"/>
    <w:rsid w:val="00E77D78"/>
    <w:rsid w:val="00E8087E"/>
    <w:rsid w:val="00E828AB"/>
    <w:rsid w:val="00E85253"/>
    <w:rsid w:val="00E85A8A"/>
    <w:rsid w:val="00E9039D"/>
    <w:rsid w:val="00E9053B"/>
    <w:rsid w:val="00E90BB9"/>
    <w:rsid w:val="00E9191A"/>
    <w:rsid w:val="00E927D9"/>
    <w:rsid w:val="00E9341B"/>
    <w:rsid w:val="00E93D65"/>
    <w:rsid w:val="00E95CBA"/>
    <w:rsid w:val="00E95DFF"/>
    <w:rsid w:val="00EA1303"/>
    <w:rsid w:val="00EA1EA6"/>
    <w:rsid w:val="00EA23B4"/>
    <w:rsid w:val="00EA2AB8"/>
    <w:rsid w:val="00EA32EE"/>
    <w:rsid w:val="00EA3470"/>
    <w:rsid w:val="00EA363A"/>
    <w:rsid w:val="00EA4BFF"/>
    <w:rsid w:val="00EA50E5"/>
    <w:rsid w:val="00EA5DE6"/>
    <w:rsid w:val="00EA71DE"/>
    <w:rsid w:val="00EA7E15"/>
    <w:rsid w:val="00EB0C11"/>
    <w:rsid w:val="00EB1C28"/>
    <w:rsid w:val="00EB244D"/>
    <w:rsid w:val="00EB435A"/>
    <w:rsid w:val="00EB6AC2"/>
    <w:rsid w:val="00EC07A4"/>
    <w:rsid w:val="00EC1114"/>
    <w:rsid w:val="00EC17B5"/>
    <w:rsid w:val="00EC1950"/>
    <w:rsid w:val="00EC1F1F"/>
    <w:rsid w:val="00EC2D2F"/>
    <w:rsid w:val="00EC4187"/>
    <w:rsid w:val="00EC47E6"/>
    <w:rsid w:val="00EC724D"/>
    <w:rsid w:val="00ED0118"/>
    <w:rsid w:val="00ED0AD9"/>
    <w:rsid w:val="00ED1E71"/>
    <w:rsid w:val="00ED2522"/>
    <w:rsid w:val="00ED26CA"/>
    <w:rsid w:val="00ED2784"/>
    <w:rsid w:val="00ED3CF9"/>
    <w:rsid w:val="00ED3EA5"/>
    <w:rsid w:val="00ED437E"/>
    <w:rsid w:val="00ED4878"/>
    <w:rsid w:val="00EE0F80"/>
    <w:rsid w:val="00EE47A8"/>
    <w:rsid w:val="00EE4B98"/>
    <w:rsid w:val="00EE55FE"/>
    <w:rsid w:val="00EE725F"/>
    <w:rsid w:val="00EF15DF"/>
    <w:rsid w:val="00EF2D5C"/>
    <w:rsid w:val="00EF3F47"/>
    <w:rsid w:val="00EF58AB"/>
    <w:rsid w:val="00EF5F2D"/>
    <w:rsid w:val="00F01FF8"/>
    <w:rsid w:val="00F03830"/>
    <w:rsid w:val="00F05BDC"/>
    <w:rsid w:val="00F06395"/>
    <w:rsid w:val="00F114AB"/>
    <w:rsid w:val="00F11D18"/>
    <w:rsid w:val="00F12E83"/>
    <w:rsid w:val="00F145BC"/>
    <w:rsid w:val="00F14CA1"/>
    <w:rsid w:val="00F160B4"/>
    <w:rsid w:val="00F16EB0"/>
    <w:rsid w:val="00F21005"/>
    <w:rsid w:val="00F24DE9"/>
    <w:rsid w:val="00F24FE6"/>
    <w:rsid w:val="00F2707A"/>
    <w:rsid w:val="00F27188"/>
    <w:rsid w:val="00F30140"/>
    <w:rsid w:val="00F318EA"/>
    <w:rsid w:val="00F31D04"/>
    <w:rsid w:val="00F354F9"/>
    <w:rsid w:val="00F35A6C"/>
    <w:rsid w:val="00F36230"/>
    <w:rsid w:val="00F363F4"/>
    <w:rsid w:val="00F36DF5"/>
    <w:rsid w:val="00F37DCA"/>
    <w:rsid w:val="00F37F3D"/>
    <w:rsid w:val="00F400A9"/>
    <w:rsid w:val="00F40AD1"/>
    <w:rsid w:val="00F4377F"/>
    <w:rsid w:val="00F4556B"/>
    <w:rsid w:val="00F456F7"/>
    <w:rsid w:val="00F4586B"/>
    <w:rsid w:val="00F45947"/>
    <w:rsid w:val="00F45DB6"/>
    <w:rsid w:val="00F46F7C"/>
    <w:rsid w:val="00F50C96"/>
    <w:rsid w:val="00F5116D"/>
    <w:rsid w:val="00F52428"/>
    <w:rsid w:val="00F52ACA"/>
    <w:rsid w:val="00F53A93"/>
    <w:rsid w:val="00F5544D"/>
    <w:rsid w:val="00F56486"/>
    <w:rsid w:val="00F60CAB"/>
    <w:rsid w:val="00F60EDD"/>
    <w:rsid w:val="00F614EA"/>
    <w:rsid w:val="00F61C38"/>
    <w:rsid w:val="00F63A3B"/>
    <w:rsid w:val="00F64758"/>
    <w:rsid w:val="00F676BE"/>
    <w:rsid w:val="00F67BC2"/>
    <w:rsid w:val="00F67F3E"/>
    <w:rsid w:val="00F70379"/>
    <w:rsid w:val="00F7127A"/>
    <w:rsid w:val="00F716CE"/>
    <w:rsid w:val="00F75031"/>
    <w:rsid w:val="00F756DE"/>
    <w:rsid w:val="00F75C20"/>
    <w:rsid w:val="00F75C66"/>
    <w:rsid w:val="00F774EB"/>
    <w:rsid w:val="00F8161A"/>
    <w:rsid w:val="00F818B2"/>
    <w:rsid w:val="00F818E1"/>
    <w:rsid w:val="00F81AE2"/>
    <w:rsid w:val="00F81FBF"/>
    <w:rsid w:val="00F82AF0"/>
    <w:rsid w:val="00F83837"/>
    <w:rsid w:val="00F83942"/>
    <w:rsid w:val="00F84850"/>
    <w:rsid w:val="00F850D3"/>
    <w:rsid w:val="00F85828"/>
    <w:rsid w:val="00F86C22"/>
    <w:rsid w:val="00F90896"/>
    <w:rsid w:val="00F9284E"/>
    <w:rsid w:val="00F93013"/>
    <w:rsid w:val="00F95033"/>
    <w:rsid w:val="00F95419"/>
    <w:rsid w:val="00F97CD5"/>
    <w:rsid w:val="00F97D1F"/>
    <w:rsid w:val="00FA0E84"/>
    <w:rsid w:val="00FA1D7C"/>
    <w:rsid w:val="00FA6AD2"/>
    <w:rsid w:val="00FB17AC"/>
    <w:rsid w:val="00FB1C3F"/>
    <w:rsid w:val="00FB1CFC"/>
    <w:rsid w:val="00FB2665"/>
    <w:rsid w:val="00FB2F41"/>
    <w:rsid w:val="00FB3C15"/>
    <w:rsid w:val="00FB3F29"/>
    <w:rsid w:val="00FB58AC"/>
    <w:rsid w:val="00FC14CB"/>
    <w:rsid w:val="00FC197E"/>
    <w:rsid w:val="00FC198A"/>
    <w:rsid w:val="00FC4558"/>
    <w:rsid w:val="00FC6382"/>
    <w:rsid w:val="00FC6D9F"/>
    <w:rsid w:val="00FD05F1"/>
    <w:rsid w:val="00FD1DFE"/>
    <w:rsid w:val="00FD3DF3"/>
    <w:rsid w:val="00FD4902"/>
    <w:rsid w:val="00FD5315"/>
    <w:rsid w:val="00FD54A9"/>
    <w:rsid w:val="00FD642B"/>
    <w:rsid w:val="00FD7145"/>
    <w:rsid w:val="00FD7FBE"/>
    <w:rsid w:val="00FE0C07"/>
    <w:rsid w:val="00FE0D81"/>
    <w:rsid w:val="00FE228F"/>
    <w:rsid w:val="00FE2C60"/>
    <w:rsid w:val="00FE3382"/>
    <w:rsid w:val="00FE35AE"/>
    <w:rsid w:val="00FE62FF"/>
    <w:rsid w:val="00FF1432"/>
    <w:rsid w:val="00FF31D3"/>
    <w:rsid w:val="00FF4DDB"/>
    <w:rsid w:val="00FF4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5200"/>
  <w15:docId w15:val="{18CE90D0-55F2-4B94-896C-98145D4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58B"/>
  </w:style>
  <w:style w:type="paragraph" w:styleId="1">
    <w:name w:val="heading 1"/>
    <w:basedOn w:val="a"/>
    <w:next w:val="20"/>
    <w:link w:val="10"/>
    <w:qFormat/>
    <w:rsid w:val="00094143"/>
    <w:pPr>
      <w:keepNext/>
      <w:keepLines/>
      <w:widowControl w:val="0"/>
      <w:numPr>
        <w:numId w:val="2"/>
      </w:numPr>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0">
    <w:name w:val="heading 2"/>
    <w:basedOn w:val="a"/>
    <w:link w:val="22"/>
    <w:qFormat/>
    <w:rsid w:val="002A6566"/>
    <w:pPr>
      <w:widowControl w:val="0"/>
      <w:numPr>
        <w:ilvl w:val="1"/>
        <w:numId w:val="6"/>
      </w:numPr>
      <w:tabs>
        <w:tab w:val="left" w:pos="397"/>
      </w:tabs>
      <w:overflowPunct w:val="0"/>
      <w:autoSpaceDE w:val="0"/>
      <w:autoSpaceDN w:val="0"/>
      <w:adjustRightInd w:val="0"/>
      <w:spacing w:before="120" w:after="0"/>
      <w:textAlignment w:val="baseline"/>
      <w:outlineLvl w:val="1"/>
    </w:pPr>
    <w:rPr>
      <w:rFonts w:ascii="Times New Roman" w:eastAsia="Times New Roman" w:hAnsi="Times New Roman" w:cs="Times New Roman"/>
      <w:sz w:val="24"/>
      <w:szCs w:val="20"/>
      <w:lang w:eastAsia="ru-RU"/>
    </w:rPr>
  </w:style>
  <w:style w:type="paragraph" w:styleId="3">
    <w:name w:val="heading 3"/>
    <w:basedOn w:val="a"/>
    <w:link w:val="31"/>
    <w:qFormat/>
    <w:rsid w:val="00094143"/>
    <w:pPr>
      <w:widowControl w:val="0"/>
      <w:numPr>
        <w:ilvl w:val="2"/>
        <w:numId w:val="2"/>
      </w:numPr>
      <w:overflowPunct w:val="0"/>
      <w:autoSpaceDE w:val="0"/>
      <w:autoSpaceDN w:val="0"/>
      <w:adjustRightInd w:val="0"/>
      <w:spacing w:before="60" w:after="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numPr>
        <w:ilvl w:val="4"/>
        <w:numId w:val="2"/>
      </w:numPr>
      <w:overflowPunct w:val="0"/>
      <w:autoSpaceDE w:val="0"/>
      <w:autoSpaceDN w:val="0"/>
      <w:adjustRightInd w:val="0"/>
      <w:spacing w:before="60" w:after="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numPr>
        <w:ilvl w:val="5"/>
        <w:numId w:val="2"/>
      </w:numPr>
      <w:overflowPunct w:val="0"/>
      <w:autoSpaceDE w:val="0"/>
      <w:autoSpaceDN w:val="0"/>
      <w:adjustRightInd w:val="0"/>
      <w:spacing w:before="60" w:after="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numPr>
        <w:ilvl w:val="6"/>
        <w:numId w:val="2"/>
      </w:numPr>
      <w:overflowPunct w:val="0"/>
      <w:autoSpaceDE w:val="0"/>
      <w:autoSpaceDN w:val="0"/>
      <w:adjustRightInd w:val="0"/>
      <w:spacing w:before="60" w:after="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numPr>
        <w:ilvl w:val="7"/>
        <w:numId w:val="2"/>
      </w:numPr>
      <w:overflowPunct w:val="0"/>
      <w:autoSpaceDE w:val="0"/>
      <w:autoSpaceDN w:val="0"/>
      <w:adjustRightInd w:val="0"/>
      <w:spacing w:before="60" w:after="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numPr>
        <w:ilvl w:val="8"/>
        <w:numId w:val="2"/>
      </w:numPr>
      <w:overflowPunct w:val="0"/>
      <w:autoSpaceDE w:val="0"/>
      <w:autoSpaceDN w:val="0"/>
      <w:adjustRightInd w:val="0"/>
      <w:spacing w:before="60" w:after="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015F3"/>
    <w:pPr>
      <w:ind w:left="720"/>
      <w:contextualSpacing/>
    </w:pPr>
  </w:style>
  <w:style w:type="paragraph" w:styleId="a5">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spacing w:after="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0"/>
    <w:rsid w:val="00734492"/>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0"/>
    <w:link w:val="12"/>
    <w:rsid w:val="00094143"/>
    <w:pPr>
      <w:tabs>
        <w:tab w:val="num" w:pos="596"/>
      </w:tabs>
      <w:spacing w:after="60"/>
      <w:ind w:left="596" w:hanging="454"/>
    </w:pPr>
    <w:rPr>
      <w:b/>
      <w:szCs w:val="22"/>
    </w:rPr>
  </w:style>
  <w:style w:type="paragraph" w:styleId="30">
    <w:name w:val="List 3"/>
    <w:basedOn w:val="23"/>
    <w:rsid w:val="00094143"/>
    <w:pPr>
      <w:widowControl w:val="0"/>
      <w:numPr>
        <w:ilvl w:val="3"/>
        <w:numId w:val="2"/>
      </w:numPr>
      <w:overflowPunct w:val="0"/>
      <w:autoSpaceDE w:val="0"/>
      <w:autoSpaceDN w:val="0"/>
      <w:adjustRightInd w:val="0"/>
      <w:spacing w:before="60" w:after="0"/>
      <w:ind w:left="2880" w:hanging="36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b/>
      <w:sz w:val="24"/>
      <w:lang w:eastAsia="ru-RU"/>
    </w:rPr>
  </w:style>
  <w:style w:type="paragraph" w:styleId="23">
    <w:name w:val="List 2"/>
    <w:basedOn w:val="a"/>
    <w:uiPriority w:val="99"/>
    <w:semiHidden/>
    <w:unhideWhenUsed/>
    <w:rsid w:val="00094143"/>
    <w:pPr>
      <w:ind w:left="566" w:hanging="283"/>
      <w:contextualSpacing/>
    </w:pPr>
  </w:style>
  <w:style w:type="paragraph" w:styleId="a6">
    <w:name w:val="footnote text"/>
    <w:basedOn w:val="a"/>
    <w:link w:val="a7"/>
    <w:uiPriority w:val="99"/>
    <w:unhideWhenUsed/>
    <w:rsid w:val="00E828AB"/>
    <w:pPr>
      <w:spacing w:after="0"/>
    </w:pPr>
    <w:rPr>
      <w:sz w:val="20"/>
      <w:szCs w:val="20"/>
    </w:rPr>
  </w:style>
  <w:style w:type="character" w:customStyle="1" w:styleId="a7">
    <w:name w:val="Текст сноски Знак"/>
    <w:basedOn w:val="a0"/>
    <w:link w:val="a6"/>
    <w:uiPriority w:val="99"/>
    <w:rsid w:val="00E828AB"/>
    <w:rPr>
      <w:sz w:val="20"/>
      <w:szCs w:val="20"/>
    </w:rPr>
  </w:style>
  <w:style w:type="character" w:styleId="a8">
    <w:name w:val="footnote reference"/>
    <w:basedOn w:val="a0"/>
    <w:uiPriority w:val="99"/>
    <w:semiHidden/>
    <w:rsid w:val="00E828AB"/>
    <w:rPr>
      <w:rFonts w:cs="Times New Roman"/>
      <w:sz w:val="20"/>
      <w:vertAlign w:val="superscript"/>
    </w:rPr>
  </w:style>
  <w:style w:type="paragraph" w:styleId="a9">
    <w:name w:val="Balloon Text"/>
    <w:basedOn w:val="a"/>
    <w:link w:val="aa"/>
    <w:uiPriority w:val="99"/>
    <w:semiHidden/>
    <w:unhideWhenUsed/>
    <w:rsid w:val="00290B74"/>
    <w:pPr>
      <w:spacing w:after="0"/>
    </w:pPr>
    <w:rPr>
      <w:rFonts w:ascii="Tahoma" w:hAnsi="Tahoma" w:cs="Tahoma"/>
      <w:sz w:val="16"/>
      <w:szCs w:val="16"/>
    </w:rPr>
  </w:style>
  <w:style w:type="character" w:customStyle="1" w:styleId="aa">
    <w:name w:val="Текст выноски Знак"/>
    <w:basedOn w:val="a0"/>
    <w:link w:val="a9"/>
    <w:uiPriority w:val="99"/>
    <w:semiHidden/>
    <w:rsid w:val="00290B74"/>
    <w:rPr>
      <w:rFonts w:ascii="Tahoma" w:hAnsi="Tahoma" w:cs="Tahoma"/>
      <w:sz w:val="16"/>
      <w:szCs w:val="16"/>
    </w:rPr>
  </w:style>
  <w:style w:type="paragraph" w:styleId="ab">
    <w:name w:val="header"/>
    <w:basedOn w:val="a"/>
    <w:link w:val="ac"/>
    <w:uiPriority w:val="99"/>
    <w:unhideWhenUsed/>
    <w:rsid w:val="00E8087E"/>
    <w:pPr>
      <w:tabs>
        <w:tab w:val="center" w:pos="4677"/>
        <w:tab w:val="right" w:pos="9355"/>
      </w:tabs>
      <w:spacing w:after="0"/>
    </w:pPr>
  </w:style>
  <w:style w:type="character" w:customStyle="1" w:styleId="ac">
    <w:name w:val="Верхний колонтитул Знак"/>
    <w:basedOn w:val="a0"/>
    <w:link w:val="ab"/>
    <w:uiPriority w:val="99"/>
    <w:rsid w:val="00E8087E"/>
  </w:style>
  <w:style w:type="paragraph" w:styleId="ad">
    <w:name w:val="footer"/>
    <w:basedOn w:val="a"/>
    <w:link w:val="ae"/>
    <w:uiPriority w:val="99"/>
    <w:unhideWhenUsed/>
    <w:rsid w:val="00E8087E"/>
    <w:pPr>
      <w:tabs>
        <w:tab w:val="center" w:pos="4677"/>
        <w:tab w:val="right" w:pos="9355"/>
      </w:tabs>
      <w:spacing w:after="0"/>
    </w:pPr>
  </w:style>
  <w:style w:type="character" w:customStyle="1" w:styleId="ae">
    <w:name w:val="Нижний колонтитул Знак"/>
    <w:basedOn w:val="a0"/>
    <w:link w:val="ad"/>
    <w:uiPriority w:val="99"/>
    <w:rsid w:val="00E8087E"/>
  </w:style>
  <w:style w:type="paragraph" w:customStyle="1" w:styleId="32">
    <w:name w:val="Титульный лист 3"/>
    <w:basedOn w:val="a"/>
    <w:rsid w:val="00C622B7"/>
    <w:pPr>
      <w:widowControl w:val="0"/>
      <w:overflowPunct w:val="0"/>
      <w:autoSpaceDE w:val="0"/>
      <w:autoSpaceDN w:val="0"/>
      <w:adjustRightInd w:val="0"/>
      <w:spacing w:after="0"/>
    </w:pPr>
    <w:rPr>
      <w:rFonts w:ascii="Times New Roman" w:eastAsia="Times New Roman" w:hAnsi="Times New Roman" w:cs="Times New Roman"/>
      <w:b/>
      <w:sz w:val="28"/>
      <w:szCs w:val="20"/>
      <w:lang w:eastAsia="ru-RU"/>
    </w:rPr>
  </w:style>
  <w:style w:type="paragraph" w:customStyle="1" w:styleId="21">
    <w:name w:val="Текст 2"/>
    <w:basedOn w:val="3"/>
    <w:rsid w:val="00EA2AB8"/>
    <w:pPr>
      <w:numPr>
        <w:numId w:val="1"/>
      </w:numPr>
      <w:ind w:left="993" w:hanging="567"/>
      <w:textAlignment w:val="auto"/>
    </w:pPr>
  </w:style>
  <w:style w:type="paragraph" w:customStyle="1" w:styleId="af">
    <w:name w:val="заголовок (ПОдразделыазделы)"/>
    <w:basedOn w:val="a"/>
    <w:next w:val="a"/>
    <w:autoRedefine/>
    <w:rsid w:val="000848E7"/>
    <w:pPr>
      <w:tabs>
        <w:tab w:val="left" w:pos="34"/>
      </w:tabs>
      <w:spacing w:after="0"/>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3"/>
      </w:numPr>
      <w:tabs>
        <w:tab w:val="right" w:leader="dot" w:pos="9639"/>
      </w:tabs>
      <w:overflowPunct w:val="0"/>
      <w:autoSpaceDE w:val="0"/>
      <w:autoSpaceDN w:val="0"/>
      <w:adjustRightInd w:val="0"/>
      <w:spacing w:before="60" w:after="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0"/>
    <w:rsid w:val="00A8601B"/>
    <w:pPr>
      <w:widowControl w:val="0"/>
      <w:tabs>
        <w:tab w:val="num" w:pos="851"/>
      </w:tabs>
      <w:overflowPunct w:val="0"/>
      <w:autoSpaceDE w:val="0"/>
      <w:autoSpaceDN w:val="0"/>
      <w:adjustRightInd w:val="0"/>
      <w:spacing w:before="60" w:after="0"/>
      <w:ind w:left="851" w:hanging="425"/>
      <w:contextualSpacing w:val="0"/>
      <w:textAlignment w:val="baseline"/>
    </w:pPr>
    <w:rPr>
      <w:rFonts w:ascii="Times New Roman" w:eastAsia="Times New Roman" w:hAnsi="Times New Roman" w:cs="Times New Roman"/>
      <w:sz w:val="24"/>
      <w:szCs w:val="20"/>
      <w:lang w:eastAsia="ru-RU"/>
    </w:rPr>
  </w:style>
  <w:style w:type="paragraph" w:styleId="af0">
    <w:name w:val="List Bullet"/>
    <w:basedOn w:val="a"/>
    <w:uiPriority w:val="99"/>
    <w:semiHidden/>
    <w:unhideWhenUsed/>
    <w:rsid w:val="00A8601B"/>
    <w:pPr>
      <w:tabs>
        <w:tab w:val="num" w:pos="1532"/>
      </w:tabs>
      <w:ind w:left="1532" w:hanging="397"/>
      <w:contextualSpacing/>
    </w:pPr>
  </w:style>
  <w:style w:type="paragraph" w:styleId="af1">
    <w:name w:val="Body Text Indent"/>
    <w:basedOn w:val="a"/>
    <w:link w:val="af2"/>
    <w:rsid w:val="0003742C"/>
    <w:pPr>
      <w:widowControl w:val="0"/>
      <w:spacing w:after="0"/>
      <w:ind w:firstLine="720"/>
    </w:pPr>
    <w:rPr>
      <w:rFonts w:ascii="Times New Roman" w:eastAsia="Times New Roman" w:hAnsi="Times New Roman" w:cs="Times New Roman"/>
      <w:snapToGrid w:val="0"/>
      <w:sz w:val="24"/>
      <w:szCs w:val="20"/>
      <w:lang w:eastAsia="ru-RU"/>
    </w:rPr>
  </w:style>
  <w:style w:type="character" w:customStyle="1" w:styleId="af2">
    <w:name w:val="Основной текст с отступом Знак"/>
    <w:basedOn w:val="a0"/>
    <w:link w:val="af1"/>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spacing w:after="0"/>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3">
    <w:name w:val="Hyperlink"/>
    <w:basedOn w:val="a0"/>
    <w:uiPriority w:val="99"/>
    <w:unhideWhenUsed/>
    <w:rsid w:val="00A312FC"/>
    <w:rPr>
      <w:color w:val="0000FF"/>
      <w:u w:val="single"/>
    </w:rPr>
  </w:style>
  <w:style w:type="character" w:styleId="af4">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5871CF"/>
    <w:rPr>
      <w:sz w:val="16"/>
      <w:szCs w:val="16"/>
    </w:rPr>
  </w:style>
  <w:style w:type="paragraph" w:styleId="af6">
    <w:name w:val="annotation text"/>
    <w:basedOn w:val="a"/>
    <w:link w:val="af7"/>
    <w:uiPriority w:val="99"/>
    <w:unhideWhenUsed/>
    <w:rsid w:val="005871CF"/>
    <w:rPr>
      <w:sz w:val="20"/>
      <w:szCs w:val="20"/>
    </w:rPr>
  </w:style>
  <w:style w:type="character" w:customStyle="1" w:styleId="af7">
    <w:name w:val="Текст примечания Знак"/>
    <w:basedOn w:val="a0"/>
    <w:link w:val="af6"/>
    <w:uiPriority w:val="99"/>
    <w:rsid w:val="005871CF"/>
    <w:rPr>
      <w:sz w:val="20"/>
      <w:szCs w:val="20"/>
    </w:rPr>
  </w:style>
  <w:style w:type="paragraph" w:styleId="af8">
    <w:name w:val="annotation subject"/>
    <w:basedOn w:val="af6"/>
    <w:next w:val="af6"/>
    <w:link w:val="af9"/>
    <w:uiPriority w:val="99"/>
    <w:semiHidden/>
    <w:unhideWhenUsed/>
    <w:rsid w:val="005871CF"/>
    <w:rPr>
      <w:b/>
      <w:bCs/>
    </w:rPr>
  </w:style>
  <w:style w:type="character" w:customStyle="1" w:styleId="af9">
    <w:name w:val="Тема примечания Знак"/>
    <w:basedOn w:val="af7"/>
    <w:link w:val="af8"/>
    <w:uiPriority w:val="99"/>
    <w:semiHidden/>
    <w:rsid w:val="005871CF"/>
    <w:rPr>
      <w:b/>
      <w:bCs/>
      <w:sz w:val="20"/>
      <w:szCs w:val="20"/>
    </w:rPr>
  </w:style>
  <w:style w:type="paragraph" w:styleId="14">
    <w:name w:val="toc 1"/>
    <w:basedOn w:val="a"/>
    <w:next w:val="a"/>
    <w:autoRedefine/>
    <w:uiPriority w:val="39"/>
    <w:unhideWhenUsed/>
    <w:qFormat/>
    <w:rsid w:val="006A31A0"/>
    <w:pPr>
      <w:tabs>
        <w:tab w:val="left" w:pos="284"/>
        <w:tab w:val="left" w:pos="851"/>
        <w:tab w:val="right" w:leader="dot" w:pos="9627"/>
      </w:tabs>
      <w:spacing w:after="100"/>
      <w:ind w:left="567" w:firstLine="0"/>
    </w:pPr>
    <w:rPr>
      <w:rFonts w:ascii="Times New Roman" w:eastAsia="Times New Roman" w:hAnsi="Times New Roman" w:cs="Times New Roman"/>
      <w:noProof/>
      <w:sz w:val="28"/>
      <w:szCs w:val="28"/>
    </w:rPr>
  </w:style>
  <w:style w:type="character" w:styleId="afa">
    <w:name w:val="Book Title"/>
    <w:basedOn w:val="a0"/>
    <w:uiPriority w:val="33"/>
    <w:qFormat/>
    <w:rsid w:val="00E7677C"/>
    <w:rPr>
      <w:b/>
      <w:bCs/>
      <w:smallCaps/>
      <w:spacing w:val="5"/>
    </w:rPr>
  </w:style>
  <w:style w:type="paragraph" w:styleId="afb">
    <w:name w:val="endnote text"/>
    <w:basedOn w:val="a"/>
    <w:link w:val="afc"/>
    <w:uiPriority w:val="99"/>
    <w:semiHidden/>
    <w:unhideWhenUsed/>
    <w:rsid w:val="00194EF9"/>
    <w:pPr>
      <w:spacing w:after="0"/>
    </w:pPr>
    <w:rPr>
      <w:sz w:val="20"/>
      <w:szCs w:val="20"/>
    </w:rPr>
  </w:style>
  <w:style w:type="character" w:customStyle="1" w:styleId="afc">
    <w:name w:val="Текст концевой сноски Знак"/>
    <w:basedOn w:val="a0"/>
    <w:link w:val="afb"/>
    <w:uiPriority w:val="99"/>
    <w:semiHidden/>
    <w:rsid w:val="00194EF9"/>
    <w:rPr>
      <w:sz w:val="20"/>
      <w:szCs w:val="20"/>
    </w:rPr>
  </w:style>
  <w:style w:type="character" w:styleId="afd">
    <w:name w:val="endnote reference"/>
    <w:basedOn w:val="a0"/>
    <w:uiPriority w:val="99"/>
    <w:semiHidden/>
    <w:unhideWhenUsed/>
    <w:rsid w:val="00194EF9"/>
    <w:rPr>
      <w:vertAlign w:val="superscript"/>
    </w:rPr>
  </w:style>
  <w:style w:type="paragraph" w:customStyle="1" w:styleId="ConsPlusNormal">
    <w:name w:val="ConsPlusNormal"/>
    <w:rsid w:val="00991112"/>
    <w:pPr>
      <w:autoSpaceDE w:val="0"/>
      <w:autoSpaceDN w:val="0"/>
      <w:adjustRightInd w:val="0"/>
      <w:spacing w:after="0"/>
      <w:ind w:firstLine="0"/>
      <w:jc w:val="left"/>
    </w:pPr>
    <w:rPr>
      <w:rFonts w:ascii="Arial" w:hAnsi="Arial" w:cs="Arial"/>
      <w:sz w:val="24"/>
      <w:szCs w:val="24"/>
    </w:rPr>
  </w:style>
  <w:style w:type="table" w:customStyle="1" w:styleId="TableNormal">
    <w:name w:val="Table Normal"/>
    <w:uiPriority w:val="2"/>
    <w:semiHidden/>
    <w:unhideWhenUsed/>
    <w:qFormat/>
    <w:rsid w:val="00061B03"/>
    <w:pPr>
      <w:widowControl w:val="0"/>
      <w:spacing w:after="0"/>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1B03"/>
    <w:pPr>
      <w:widowControl w:val="0"/>
      <w:spacing w:after="0"/>
      <w:ind w:firstLine="0"/>
      <w:jc w:val="left"/>
    </w:pPr>
    <w:rPr>
      <w:rFonts w:ascii="Arial Narrow" w:eastAsia="Arial Narrow" w:hAnsi="Arial Narrow" w:cs="Arial Narrow"/>
      <w:lang w:val="en-US"/>
    </w:rPr>
  </w:style>
  <w:style w:type="paragraph" w:customStyle="1" w:styleId="afe">
    <w:name w:val="ОБычный"/>
    <w:basedOn w:val="a"/>
    <w:link w:val="aff"/>
    <w:qFormat/>
    <w:rsid w:val="00AC0BC6"/>
    <w:pPr>
      <w:widowControl w:val="0"/>
      <w:spacing w:before="60" w:after="0" w:line="312" w:lineRule="auto"/>
      <w:ind w:firstLine="709"/>
    </w:pPr>
    <w:rPr>
      <w:rFonts w:ascii="Times New Roman" w:eastAsia="Arial Unicode MS" w:hAnsi="Times New Roman" w:cs="Times New Roman"/>
      <w:sz w:val="24"/>
      <w:szCs w:val="24"/>
      <w:lang w:eastAsia="ru-RU" w:bidi="ru-RU"/>
    </w:rPr>
  </w:style>
  <w:style w:type="character" w:customStyle="1" w:styleId="aff">
    <w:name w:val="ОБычный Знак"/>
    <w:basedOn w:val="a0"/>
    <w:link w:val="afe"/>
    <w:rsid w:val="00AC0BC6"/>
    <w:rPr>
      <w:rFonts w:ascii="Times New Roman" w:eastAsia="Arial Unicode MS" w:hAnsi="Times New Roman" w:cs="Times New Roman"/>
      <w:sz w:val="24"/>
      <w:szCs w:val="24"/>
      <w:lang w:eastAsia="ru-RU" w:bidi="ru-RU"/>
    </w:rPr>
  </w:style>
  <w:style w:type="paragraph" w:styleId="aff0">
    <w:name w:val="Revision"/>
    <w:hidden/>
    <w:uiPriority w:val="99"/>
    <w:semiHidden/>
    <w:rsid w:val="0062763B"/>
    <w:pPr>
      <w:spacing w:after="0"/>
      <w:ind w:firstLine="0"/>
      <w:jc w:val="left"/>
    </w:pPr>
  </w:style>
  <w:style w:type="character" w:styleId="aff1">
    <w:name w:val="FollowedHyperlink"/>
    <w:basedOn w:val="a0"/>
    <w:uiPriority w:val="99"/>
    <w:semiHidden/>
    <w:unhideWhenUsed/>
    <w:rsid w:val="004473C6"/>
    <w:rPr>
      <w:color w:val="800080" w:themeColor="followedHyperlink"/>
      <w:u w:val="single"/>
    </w:rPr>
  </w:style>
  <w:style w:type="paragraph" w:styleId="aff2">
    <w:name w:val="TOC Heading"/>
    <w:basedOn w:val="1"/>
    <w:next w:val="a"/>
    <w:uiPriority w:val="39"/>
    <w:semiHidden/>
    <w:unhideWhenUsed/>
    <w:qFormat/>
    <w:rsid w:val="008E7116"/>
    <w:pPr>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rPr>
  </w:style>
  <w:style w:type="paragraph" w:styleId="35">
    <w:name w:val="toc 3"/>
    <w:basedOn w:val="a"/>
    <w:next w:val="a"/>
    <w:autoRedefine/>
    <w:uiPriority w:val="39"/>
    <w:semiHidden/>
    <w:unhideWhenUsed/>
    <w:qFormat/>
    <w:rsid w:val="008E7116"/>
    <w:pPr>
      <w:spacing w:after="100" w:line="276" w:lineRule="auto"/>
      <w:ind w:left="440" w:firstLine="0"/>
      <w:jc w:val="left"/>
    </w:pPr>
    <w:rPr>
      <w:rFonts w:eastAsiaTheme="minorEastAsia"/>
      <w:lang w:eastAsia="ru-RU"/>
    </w:rPr>
  </w:style>
  <w:style w:type="character" w:styleId="aff3">
    <w:name w:val="Unresolved Mention"/>
    <w:basedOn w:val="a0"/>
    <w:uiPriority w:val="99"/>
    <w:semiHidden/>
    <w:unhideWhenUsed/>
    <w:rsid w:val="002247C5"/>
    <w:rPr>
      <w:color w:val="605E5C"/>
      <w:shd w:val="clear" w:color="auto" w:fill="E1DFDD"/>
    </w:rPr>
  </w:style>
  <w:style w:type="character" w:customStyle="1" w:styleId="fontstyle01">
    <w:name w:val="fontstyle01"/>
    <w:basedOn w:val="a0"/>
    <w:rsid w:val="003202C6"/>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404">
      <w:bodyDiv w:val="1"/>
      <w:marLeft w:val="0"/>
      <w:marRight w:val="0"/>
      <w:marTop w:val="0"/>
      <w:marBottom w:val="0"/>
      <w:divBdr>
        <w:top w:val="none" w:sz="0" w:space="0" w:color="auto"/>
        <w:left w:val="none" w:sz="0" w:space="0" w:color="auto"/>
        <w:bottom w:val="none" w:sz="0" w:space="0" w:color="auto"/>
        <w:right w:val="none" w:sz="0" w:space="0" w:color="auto"/>
      </w:divBdr>
    </w:div>
    <w:div w:id="607548643">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303387367">
      <w:bodyDiv w:val="1"/>
      <w:marLeft w:val="0"/>
      <w:marRight w:val="0"/>
      <w:marTop w:val="0"/>
      <w:marBottom w:val="0"/>
      <w:divBdr>
        <w:top w:val="none" w:sz="0" w:space="0" w:color="auto"/>
        <w:left w:val="none" w:sz="0" w:space="0" w:color="auto"/>
        <w:bottom w:val="none" w:sz="0" w:space="0" w:color="auto"/>
        <w:right w:val="none" w:sz="0" w:space="0" w:color="auto"/>
      </w:divBdr>
    </w:div>
    <w:div w:id="1560821503">
      <w:bodyDiv w:val="1"/>
      <w:marLeft w:val="0"/>
      <w:marRight w:val="0"/>
      <w:marTop w:val="0"/>
      <w:marBottom w:val="0"/>
      <w:divBdr>
        <w:top w:val="none" w:sz="0" w:space="0" w:color="auto"/>
        <w:left w:val="none" w:sz="0" w:space="0" w:color="auto"/>
        <w:bottom w:val="none" w:sz="0" w:space="0" w:color="auto"/>
        <w:right w:val="none" w:sz="0" w:space="0" w:color="auto"/>
      </w:divBdr>
    </w:div>
    <w:div w:id="1914076149">
      <w:bodyDiv w:val="1"/>
      <w:marLeft w:val="0"/>
      <w:marRight w:val="0"/>
      <w:marTop w:val="0"/>
      <w:marBottom w:val="0"/>
      <w:divBdr>
        <w:top w:val="none" w:sz="0" w:space="0" w:color="auto"/>
        <w:left w:val="none" w:sz="0" w:space="0" w:color="auto"/>
        <w:bottom w:val="none" w:sz="0" w:space="0" w:color="auto"/>
        <w:right w:val="none" w:sz="0" w:space="0" w:color="auto"/>
      </w:divBdr>
    </w:div>
    <w:div w:id="2003577361">
      <w:bodyDiv w:val="1"/>
      <w:marLeft w:val="0"/>
      <w:marRight w:val="0"/>
      <w:marTop w:val="0"/>
      <w:marBottom w:val="0"/>
      <w:divBdr>
        <w:top w:val="none" w:sz="0" w:space="0" w:color="auto"/>
        <w:left w:val="none" w:sz="0" w:space="0" w:color="auto"/>
        <w:bottom w:val="none" w:sz="0" w:space="0" w:color="auto"/>
        <w:right w:val="none" w:sz="0" w:space="0" w:color="auto"/>
      </w:divBdr>
    </w:div>
    <w:div w:id="2052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frp36.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prf.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CFB5-AA86-4A72-B177-0257D655C072}">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EBD49577-ED0B-4FD5-A3A2-9765DF81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71164-25AE-496E-9C78-5C203B41E1C8}">
  <ds:schemaRefs>
    <ds:schemaRef ds:uri="http://schemas.microsoft.com/sharepoint/v3/contenttype/forms"/>
  </ds:schemaRefs>
</ds:datastoreItem>
</file>

<file path=customXml/itemProps4.xml><?xml version="1.0" encoding="utf-8"?>
<ds:datastoreItem xmlns:ds="http://schemas.openxmlformats.org/officeDocument/2006/customXml" ds:itemID="{12E261BB-1F54-4802-B09E-3ED7F870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5730</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 Anatoliy</dc:creator>
  <cp:keywords>Письмо</cp:keywords>
  <cp:lastModifiedBy>Анучина Анна Игоревна</cp:lastModifiedBy>
  <cp:revision>5</cp:revision>
  <cp:lastPrinted>2019-12-23T07:52:00Z</cp:lastPrinted>
  <dcterms:created xsi:type="dcterms:W3CDTF">2023-09-13T09:05:00Z</dcterms:created>
  <dcterms:modified xsi:type="dcterms:W3CDTF">2023-09-21T11:56:00Z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